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F092" w14:textId="77777777" w:rsidR="00785C32" w:rsidRDefault="00000000">
      <w:pPr>
        <w:spacing w:after="0" w:line="240" w:lineRule="auto"/>
        <w:jc w:val="center"/>
        <w:rPr>
          <w:rFonts w:ascii="Arial" w:eastAsia="Arial" w:hAnsi="Arial" w:cs="Arial"/>
          <w:b/>
          <w:sz w:val="28"/>
          <w:szCs w:val="28"/>
        </w:rPr>
      </w:pPr>
      <w:r>
        <w:rPr>
          <w:rFonts w:ascii="Arial" w:eastAsia="Arial" w:hAnsi="Arial" w:cs="Arial"/>
          <w:b/>
          <w:sz w:val="28"/>
          <w:szCs w:val="28"/>
        </w:rPr>
        <w:t>TERMES DE REFERENCE</w:t>
      </w:r>
    </w:p>
    <w:p w14:paraId="56B1F5AB" w14:textId="77777777" w:rsidR="00785C32" w:rsidRDefault="00785C32">
      <w:pPr>
        <w:spacing w:after="0" w:line="240" w:lineRule="auto"/>
        <w:rPr>
          <w:rFonts w:ascii="Arial" w:eastAsia="Arial" w:hAnsi="Arial" w:cs="Arial"/>
          <w:b/>
          <w:sz w:val="28"/>
          <w:szCs w:val="28"/>
        </w:rPr>
      </w:pPr>
    </w:p>
    <w:p w14:paraId="042A78CB" w14:textId="77777777" w:rsidR="00785C32" w:rsidRDefault="00000000">
      <w:pPr>
        <w:spacing w:line="240" w:lineRule="auto"/>
        <w:jc w:val="center"/>
        <w:rPr>
          <w:rFonts w:ascii="Arial" w:eastAsia="Arial" w:hAnsi="Arial" w:cs="Arial"/>
          <w:b/>
        </w:rPr>
      </w:pPr>
      <w:r>
        <w:rPr>
          <w:b/>
        </w:rPr>
        <w:t xml:space="preserve">Le recrutement d’un(e) consultant (e)  pour créer un système de suivi et d’évaluation du programme conjoint </w:t>
      </w:r>
      <w:r>
        <w:rPr>
          <w:b/>
          <w:sz w:val="24"/>
          <w:szCs w:val="24"/>
        </w:rPr>
        <w:t>« Pour un meilleur accès des personnes handicapées aux services et aux droits en Tunisie »</w:t>
      </w:r>
      <w:r>
        <w:rPr>
          <w:b/>
        </w:rPr>
        <w:t xml:space="preserve"> </w:t>
      </w:r>
    </w:p>
    <w:tbl>
      <w:tblPr>
        <w:tblStyle w:val="a"/>
        <w:tblW w:w="10349" w:type="dxa"/>
        <w:tblInd w:w="-449" w:type="dxa"/>
        <w:tblLayout w:type="fixed"/>
        <w:tblLook w:val="0000" w:firstRow="0" w:lastRow="0" w:firstColumn="0" w:lastColumn="0" w:noHBand="0" w:noVBand="0"/>
      </w:tblPr>
      <w:tblGrid>
        <w:gridCol w:w="2178"/>
        <w:gridCol w:w="8171"/>
      </w:tblGrid>
      <w:tr w:rsidR="00785C32" w14:paraId="0586B732" w14:textId="77777777">
        <w:trPr>
          <w:trHeight w:val="216"/>
        </w:trPr>
        <w:tc>
          <w:tcPr>
            <w:tcW w:w="10349" w:type="dxa"/>
            <w:gridSpan w:val="2"/>
            <w:tcBorders>
              <w:top w:val="single" w:sz="6" w:space="0" w:color="000000"/>
              <w:left w:val="single" w:sz="6" w:space="0" w:color="000000"/>
              <w:bottom w:val="single" w:sz="6" w:space="0" w:color="000000"/>
              <w:right w:val="single" w:sz="6" w:space="0" w:color="000000"/>
            </w:tcBorders>
            <w:shd w:val="clear" w:color="auto" w:fill="E6E6E6"/>
          </w:tcPr>
          <w:p w14:paraId="6C68A4C9" w14:textId="77777777" w:rsidR="00785C32" w:rsidRDefault="00000000">
            <w:pPr>
              <w:tabs>
                <w:tab w:val="left" w:pos="-720"/>
              </w:tabs>
              <w:spacing w:before="109" w:after="54" w:line="240" w:lineRule="auto"/>
              <w:jc w:val="center"/>
              <w:rPr>
                <w:rFonts w:ascii="Arial" w:eastAsia="Arial" w:hAnsi="Arial" w:cs="Arial"/>
                <w:b/>
                <w:sz w:val="18"/>
                <w:szCs w:val="18"/>
              </w:rPr>
            </w:pPr>
            <w:r>
              <w:rPr>
                <w:rFonts w:ascii="Arial" w:eastAsia="Arial" w:hAnsi="Arial" w:cs="Arial"/>
                <w:b/>
                <w:sz w:val="18"/>
                <w:szCs w:val="18"/>
              </w:rPr>
              <w:t>TERMES DE REFERENCE</w:t>
            </w:r>
          </w:p>
        </w:tc>
      </w:tr>
      <w:tr w:rsidR="00785C32" w14:paraId="409ADE76" w14:textId="77777777">
        <w:trPr>
          <w:trHeight w:val="345"/>
        </w:trPr>
        <w:tc>
          <w:tcPr>
            <w:tcW w:w="2178" w:type="dxa"/>
            <w:tcBorders>
              <w:top w:val="single" w:sz="6" w:space="0" w:color="000000"/>
              <w:left w:val="single" w:sz="6" w:space="0" w:color="000000"/>
              <w:bottom w:val="single" w:sz="4" w:space="0" w:color="000000"/>
            </w:tcBorders>
            <w:shd w:val="clear" w:color="auto" w:fill="auto"/>
            <w:tcMar>
              <w:left w:w="148" w:type="dxa"/>
              <w:right w:w="148" w:type="dxa"/>
            </w:tcMar>
          </w:tcPr>
          <w:p w14:paraId="1C2EBC87" w14:textId="77777777" w:rsidR="00785C32" w:rsidRDefault="00000000">
            <w:pPr>
              <w:tabs>
                <w:tab w:val="left" w:pos="-720"/>
              </w:tabs>
              <w:spacing w:before="40" w:after="54" w:line="240" w:lineRule="auto"/>
              <w:jc w:val="both"/>
              <w:rPr>
                <w:rFonts w:ascii="Arial" w:eastAsia="Arial" w:hAnsi="Arial" w:cs="Arial"/>
                <w:b/>
                <w:i/>
                <w:sz w:val="24"/>
                <w:szCs w:val="24"/>
              </w:rPr>
            </w:pPr>
            <w:r>
              <w:rPr>
                <w:b/>
                <w:i/>
                <w:sz w:val="24"/>
                <w:szCs w:val="24"/>
              </w:rPr>
              <w:t>Structure / organisation</w:t>
            </w:r>
          </w:p>
        </w:tc>
        <w:tc>
          <w:tcPr>
            <w:tcW w:w="8171"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80345D5" w14:textId="77777777" w:rsidR="00785C32" w:rsidRDefault="00000000">
            <w:pPr>
              <w:tabs>
                <w:tab w:val="left" w:pos="-720"/>
              </w:tabs>
              <w:spacing w:before="40" w:after="54" w:line="240" w:lineRule="auto"/>
              <w:jc w:val="both"/>
              <w:rPr>
                <w:rFonts w:ascii="Arial" w:eastAsia="Arial" w:hAnsi="Arial" w:cs="Arial"/>
                <w:sz w:val="24"/>
                <w:szCs w:val="24"/>
              </w:rPr>
            </w:pPr>
            <w:r>
              <w:rPr>
                <w:rFonts w:ascii="Arial" w:eastAsia="Arial" w:hAnsi="Arial" w:cs="Arial"/>
                <w:sz w:val="24"/>
                <w:szCs w:val="24"/>
              </w:rPr>
              <w:t>Fonds des Nations Unies pour la Population (UNFPA) - Bureau Tunisie</w:t>
            </w:r>
          </w:p>
        </w:tc>
      </w:tr>
      <w:tr w:rsidR="00785C32" w14:paraId="170204B5" w14:textId="77777777">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105525CB" w14:textId="77777777" w:rsidR="00785C32" w:rsidRDefault="00000000">
            <w:pPr>
              <w:tabs>
                <w:tab w:val="left" w:pos="-720"/>
              </w:tabs>
              <w:spacing w:before="40" w:after="54" w:line="240" w:lineRule="auto"/>
              <w:jc w:val="both"/>
              <w:rPr>
                <w:rFonts w:ascii="Arial" w:eastAsia="Arial" w:hAnsi="Arial" w:cs="Arial"/>
                <w:b/>
                <w:i/>
                <w:sz w:val="24"/>
                <w:szCs w:val="24"/>
              </w:rPr>
            </w:pPr>
            <w:r>
              <w:rPr>
                <w:b/>
                <w:i/>
                <w:sz w:val="24"/>
                <w:szCs w:val="24"/>
              </w:rPr>
              <w:t>Sujet de la consultation et contexte</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D9796D1" w14:textId="77777777" w:rsidR="00785C32" w:rsidRDefault="00000000">
            <w:pPr>
              <w:tabs>
                <w:tab w:val="left" w:pos="-720"/>
              </w:tabs>
              <w:spacing w:before="40" w:after="54" w:line="240" w:lineRule="auto"/>
              <w:jc w:val="both"/>
              <w:rPr>
                <w:sz w:val="24"/>
                <w:szCs w:val="24"/>
              </w:rPr>
            </w:pPr>
            <w:r>
              <w:rPr>
                <w:sz w:val="24"/>
                <w:szCs w:val="24"/>
              </w:rPr>
              <w:t>Dans le cadre du programme conjoint « Pour un meilleur accès des personnes handicapées aux services et aux droits en Tunisie », mis en œuvre par l’UNFPA, en partenariat avec l'UNESCO et le HCDH en Tunisie, sous le leadership du Ministère des Affaires Sociales (MAS), des Organisations des Personnes Handicapées (IBSAR et OTDDPH) et en coordination avec l’Office National de la Famille et de la Population (ONFP), et  le Ministère de la Famille, de la Femme, de l'Enfance et des Personnes âgées (MFFE),la mise en place d'un système de suivi et évaluation solide est une impérative</w:t>
            </w:r>
            <w:sdt>
              <w:sdtPr>
                <w:tag w:val="goog_rdk_0"/>
                <w:id w:val="-273566355"/>
              </w:sdtPr>
              <w:sdtContent>
                <w:r>
                  <w:rPr>
                    <w:sz w:val="24"/>
                    <w:szCs w:val="24"/>
                  </w:rPr>
                  <w:t xml:space="preserve"> pour ce programme</w:t>
                </w:r>
              </w:sdtContent>
            </w:sdt>
            <w:r>
              <w:rPr>
                <w:sz w:val="24"/>
                <w:szCs w:val="24"/>
              </w:rPr>
              <w:t>. Cette nécessité émane de l'importance cruciale d'un suivi perman</w:t>
            </w:r>
            <w:sdt>
              <w:sdtPr>
                <w:tag w:val="goog_rdk_1"/>
                <w:id w:val="-2028706001"/>
              </w:sdtPr>
              <w:sdtContent>
                <w:r>
                  <w:rPr>
                    <w:sz w:val="24"/>
                    <w:szCs w:val="24"/>
                  </w:rPr>
                  <w:t>e</w:t>
                </w:r>
              </w:sdtContent>
            </w:sdt>
            <w:sdt>
              <w:sdtPr>
                <w:tag w:val="goog_rdk_2"/>
                <w:id w:val="-1097867003"/>
                <w:showingPlcHdr/>
              </w:sdtPr>
              <w:sdtContent>
                <w:r w:rsidR="00836F80">
                  <w:t xml:space="preserve">     </w:t>
                </w:r>
              </w:sdtContent>
            </w:sdt>
            <w:r>
              <w:rPr>
                <w:sz w:val="24"/>
                <w:szCs w:val="24"/>
              </w:rPr>
              <w:t>nt des activités réalisées, dans le but d'assurer que les objectifs du programme sont atteints de manière efficace et efficiente. Le système de suivi et évaluation joue un rôle central en offrant une infrastructure méthodique et cohérente qui permet de collecter, analyser et interpréter de manière appropriée les données pertinentes du programme.</w:t>
            </w:r>
          </w:p>
          <w:p w14:paraId="2B81A100" w14:textId="77777777" w:rsidR="00785C32" w:rsidRDefault="00000000">
            <w:pPr>
              <w:pBdr>
                <w:top w:val="nil"/>
                <w:left w:val="nil"/>
                <w:bottom w:val="nil"/>
                <w:right w:val="nil"/>
                <w:between w:val="nil"/>
              </w:pBdr>
              <w:spacing w:line="240" w:lineRule="auto"/>
              <w:rPr>
                <w:color w:val="000000"/>
                <w:sz w:val="24"/>
                <w:szCs w:val="24"/>
              </w:rPr>
            </w:pPr>
            <w:r>
              <w:rPr>
                <w:color w:val="000000"/>
                <w:sz w:val="24"/>
                <w:szCs w:val="24"/>
              </w:rPr>
              <w:t xml:space="preserve">A cet effet , il est prévu de recruter un.e consultant(e) de suivi et évaluation afin d’apporter des ajustements opportuns pour maximiser </w:t>
            </w:r>
            <w:sdt>
              <w:sdtPr>
                <w:tag w:val="goog_rdk_4"/>
                <w:id w:val="123976604"/>
              </w:sdtPr>
              <w:sdtContent>
                <w:r>
                  <w:rPr>
                    <w:color w:val="000000"/>
                    <w:sz w:val="24"/>
                    <w:szCs w:val="24"/>
                  </w:rPr>
                  <w:t xml:space="preserve">les résultats attendus ou les effets </w:t>
                </w:r>
              </w:sdtContent>
            </w:sdt>
            <w:sdt>
              <w:sdtPr>
                <w:tag w:val="goog_rdk_5"/>
                <w:id w:val="-1432964803"/>
                <w:showingPlcHdr/>
              </w:sdtPr>
              <w:sdtContent>
                <w:r w:rsidR="00836F80">
                  <w:t xml:space="preserve">     </w:t>
                </w:r>
              </w:sdtContent>
            </w:sdt>
            <w:r>
              <w:rPr>
                <w:color w:val="000000"/>
                <w:sz w:val="24"/>
                <w:szCs w:val="24"/>
              </w:rPr>
              <w:t xml:space="preserve"> du programme et assurer que les droits des personnes handicapées sont protégés et promus de manière appropriée.</w:t>
            </w:r>
          </w:p>
          <w:p w14:paraId="270A4502" w14:textId="77777777" w:rsidR="00785C32" w:rsidRDefault="00785C32">
            <w:pPr>
              <w:tabs>
                <w:tab w:val="left" w:pos="-720"/>
              </w:tabs>
              <w:spacing w:before="40" w:after="54" w:line="240" w:lineRule="auto"/>
              <w:jc w:val="both"/>
              <w:rPr>
                <w:sz w:val="24"/>
                <w:szCs w:val="24"/>
              </w:rPr>
            </w:pPr>
          </w:p>
          <w:p w14:paraId="5006268E" w14:textId="77777777" w:rsidR="00785C32" w:rsidRDefault="00000000">
            <w:pPr>
              <w:tabs>
                <w:tab w:val="left" w:pos="90"/>
              </w:tabs>
              <w:spacing w:after="200" w:line="240" w:lineRule="auto"/>
              <w:jc w:val="both"/>
              <w:rPr>
                <w:sz w:val="24"/>
                <w:szCs w:val="24"/>
              </w:rPr>
            </w:pPr>
            <w:r>
              <w:rPr>
                <w:sz w:val="24"/>
                <w:szCs w:val="24"/>
              </w:rPr>
              <w:t xml:space="preserve"> </w:t>
            </w:r>
          </w:p>
        </w:tc>
      </w:tr>
      <w:tr w:rsidR="00785C32" w14:paraId="72BF00AE" w14:textId="77777777">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437B558B" w14:textId="77777777" w:rsidR="00785C32" w:rsidRDefault="00000000">
            <w:pPr>
              <w:tabs>
                <w:tab w:val="left" w:pos="-720"/>
              </w:tabs>
              <w:spacing w:before="40" w:after="54" w:line="240" w:lineRule="auto"/>
              <w:jc w:val="both"/>
              <w:rPr>
                <w:rFonts w:ascii="Arial" w:eastAsia="Arial" w:hAnsi="Arial" w:cs="Arial"/>
                <w:b/>
                <w:i/>
                <w:sz w:val="24"/>
                <w:szCs w:val="24"/>
              </w:rPr>
            </w:pPr>
            <w:r>
              <w:rPr>
                <w:b/>
                <w:i/>
                <w:sz w:val="24"/>
                <w:szCs w:val="24"/>
              </w:rPr>
              <w:t>Objectif de la consultation et responsabilité de l’expert.e</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D8D7B67" w14:textId="77777777" w:rsidR="00785C32" w:rsidRDefault="00000000">
            <w:pPr>
              <w:tabs>
                <w:tab w:val="left" w:pos="-720"/>
              </w:tabs>
              <w:spacing w:before="40" w:after="54" w:line="240" w:lineRule="auto"/>
              <w:jc w:val="both"/>
              <w:rPr>
                <w:sz w:val="24"/>
                <w:szCs w:val="24"/>
              </w:rPr>
            </w:pPr>
            <w:r>
              <w:rPr>
                <w:sz w:val="24"/>
                <w:szCs w:val="24"/>
              </w:rPr>
              <w:t xml:space="preserve">Le but général de cette mission est de développer, mettre en œuvre et gérer le système de suivi et d'évaluation du programme «« Pour un meilleur accès des personnes handicapées aux services et aux droits en Tunisie » en veillant à ce que les activités du programme soient suivies, évaluées et documentées de manière efficace conjointement avec l’UNFPA et ses partenaires (HCDH et l’UNESCO) . </w:t>
            </w:r>
          </w:p>
          <w:p w14:paraId="67C40A50" w14:textId="77777777" w:rsidR="00836F80" w:rsidRDefault="00000000" w:rsidP="00836F80">
            <w:pPr>
              <w:tabs>
                <w:tab w:val="left" w:pos="-720"/>
              </w:tabs>
              <w:spacing w:before="40" w:after="54" w:line="240" w:lineRule="auto"/>
              <w:rPr>
                <w:b/>
                <w:sz w:val="24"/>
                <w:szCs w:val="24"/>
              </w:rPr>
            </w:pPr>
            <w:r>
              <w:rPr>
                <w:b/>
                <w:sz w:val="24"/>
                <w:szCs w:val="24"/>
              </w:rPr>
              <w:t xml:space="preserve">Objectifs spécifiques de la </w:t>
            </w:r>
            <w:sdt>
              <w:sdtPr>
                <w:tag w:val="goog_rdk_6"/>
                <w:id w:val="-1032657857"/>
              </w:sdtPr>
              <w:sdtContent/>
            </w:sdt>
            <w:r>
              <w:rPr>
                <w:b/>
                <w:sz w:val="24"/>
                <w:szCs w:val="24"/>
              </w:rPr>
              <w:t xml:space="preserve">mission : </w:t>
            </w:r>
          </w:p>
          <w:p w14:paraId="66CC8E7B" w14:textId="77777777" w:rsidR="00836F80" w:rsidRPr="00836F80" w:rsidRDefault="00000000" w:rsidP="00836F80">
            <w:pPr>
              <w:pStyle w:val="ListParagraph"/>
              <w:numPr>
                <w:ilvl w:val="0"/>
                <w:numId w:val="6"/>
              </w:numPr>
              <w:tabs>
                <w:tab w:val="left" w:pos="-720"/>
              </w:tabs>
              <w:spacing w:before="40" w:after="54" w:line="240" w:lineRule="auto"/>
              <w:rPr>
                <w:b/>
                <w:sz w:val="24"/>
                <w:szCs w:val="24"/>
              </w:rPr>
            </w:pPr>
            <w:r w:rsidRPr="00836F80">
              <w:rPr>
                <w:color w:val="000000"/>
                <w:sz w:val="24"/>
                <w:szCs w:val="24"/>
              </w:rPr>
              <w:t>Faire l’état des lieux en matière d’outils de suivi de projet et de collecte de données et d’indicateurs</w:t>
            </w:r>
            <w:sdt>
              <w:sdtPr>
                <w:tag w:val="goog_rdk_9"/>
                <w:id w:val="1369728446"/>
              </w:sdtPr>
              <w:sdtContent>
                <w:r w:rsidRPr="00836F80">
                  <w:rPr>
                    <w:color w:val="000000"/>
                    <w:sz w:val="24"/>
                    <w:szCs w:val="24"/>
                  </w:rPr>
                  <w:t xml:space="preserve"> existants </w:t>
                </w:r>
              </w:sdtContent>
            </w:sdt>
            <w:r w:rsidRPr="00836F80">
              <w:rPr>
                <w:color w:val="000000"/>
                <w:sz w:val="24"/>
                <w:szCs w:val="24"/>
              </w:rPr>
              <w:t xml:space="preserve"> ; </w:t>
            </w:r>
          </w:p>
          <w:p w14:paraId="5082E258" w14:textId="77777777" w:rsidR="00836F80" w:rsidRPr="00836F80" w:rsidRDefault="00836F8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Faire le diagnostic et l’évaluation des besoins et pré-requis en matière de suivi et évaluation ;</w:t>
            </w:r>
          </w:p>
          <w:p w14:paraId="483225C1" w14:textId="77777777" w:rsidR="00836F80" w:rsidRPr="00836F80" w:rsidRDefault="00836F8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 xml:space="preserve">Réviser les outils de suivi-évaluation sur la base des indicateurs du projet </w:t>
            </w:r>
          </w:p>
          <w:p w14:paraId="46DF4A82" w14:textId="77777777" w:rsidR="00836F80" w:rsidRPr="00836F80" w:rsidRDefault="00836F8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 xml:space="preserve">Développer avec l’équipe du projet et les partenaires les outils de suivi-évaluation en fonction notamment des indicateurs qualitatifs et quantitatifs </w:t>
            </w:r>
          </w:p>
          <w:p w14:paraId="7F3A3E8E"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 xml:space="preserve">Assurer </w:t>
            </w:r>
            <w:r w:rsidR="00836F80" w:rsidRPr="00836F80">
              <w:rPr>
                <w:color w:val="000000"/>
                <w:sz w:val="24"/>
                <w:szCs w:val="24"/>
              </w:rPr>
              <w:t xml:space="preserve">l’élaboration </w:t>
            </w:r>
            <w:r w:rsidR="00836F80">
              <w:t>des</w:t>
            </w:r>
            <w:r w:rsidRPr="00836F80">
              <w:rPr>
                <w:color w:val="000000"/>
                <w:sz w:val="24"/>
                <w:szCs w:val="24"/>
              </w:rPr>
              <w:t xml:space="preserve"> outils de suivi et évaluation du projet </w:t>
            </w:r>
            <w:sdt>
              <w:sdtPr>
                <w:tag w:val="goog_rdk_13"/>
                <w:id w:val="1305044893"/>
              </w:sdtPr>
              <w:sdtContent>
                <w:r w:rsidRPr="00836F80">
                  <w:rPr>
                    <w:color w:val="000000"/>
                    <w:sz w:val="24"/>
                    <w:szCs w:val="24"/>
                  </w:rPr>
                  <w:t xml:space="preserve">et leur bonne utilisation </w:t>
                </w:r>
              </w:sdtContent>
            </w:sdt>
          </w:p>
          <w:p w14:paraId="787ECBE9" w14:textId="77777777" w:rsidR="00836F80" w:rsidRPr="00836F80" w:rsidRDefault="00836F8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 xml:space="preserve">Renseigner et mettre à jour les informations </w:t>
            </w:r>
          </w:p>
          <w:p w14:paraId="3361B370" w14:textId="77777777" w:rsidR="00836F80" w:rsidRPr="00836F80" w:rsidRDefault="00836F8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t>Assurer la collecte et le contrôle de qualité des données du projet</w:t>
            </w:r>
          </w:p>
          <w:p w14:paraId="462DAB06"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color w:val="000000"/>
                <w:sz w:val="24"/>
                <w:szCs w:val="24"/>
              </w:rPr>
              <w:lastRenderedPageBreak/>
              <w:t>Participer à l’élaboration des rapports présentant l’état d’avancement du projet.</w:t>
            </w:r>
          </w:p>
          <w:p w14:paraId="6106EF20"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sz w:val="24"/>
                <w:szCs w:val="24"/>
              </w:rPr>
              <w:t>Collecter les données, selon les délais prévus dans les outils de suivi-évaluation et les compiler ;</w:t>
            </w:r>
          </w:p>
          <w:p w14:paraId="621098AE"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sz w:val="24"/>
                <w:szCs w:val="24"/>
              </w:rPr>
              <w:t xml:space="preserve">Appuyer l’équipe projet pour l’exploitation et l’interprétation des données </w:t>
            </w:r>
          </w:p>
          <w:p w14:paraId="31BE474B"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sz w:val="24"/>
                <w:szCs w:val="24"/>
              </w:rPr>
              <w:t>Participer à tout processus d’évaluation finale du projet : participation à la aux réunions de restitution et de validation des données ;</w:t>
            </w:r>
          </w:p>
          <w:p w14:paraId="6BC1DA4A" w14:textId="77777777" w:rsidR="00836F80"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sz w:val="24"/>
                <w:szCs w:val="24"/>
              </w:rPr>
              <w:t xml:space="preserve">Dégager dans le cadre du processus de suivi-évaluation les leçons apprises et bonnes pratiques ; </w:t>
            </w:r>
          </w:p>
          <w:p w14:paraId="06E0451E" w14:textId="77777777" w:rsidR="00785C32" w:rsidRPr="00836F80" w:rsidRDefault="00000000" w:rsidP="00836F80">
            <w:pPr>
              <w:pStyle w:val="ListParagraph"/>
              <w:numPr>
                <w:ilvl w:val="0"/>
                <w:numId w:val="6"/>
              </w:numPr>
              <w:pBdr>
                <w:top w:val="nil"/>
                <w:left w:val="nil"/>
                <w:bottom w:val="nil"/>
                <w:right w:val="nil"/>
                <w:between w:val="nil"/>
              </w:pBdr>
              <w:tabs>
                <w:tab w:val="left" w:pos="-720"/>
              </w:tabs>
              <w:spacing w:after="0" w:line="240" w:lineRule="auto"/>
              <w:rPr>
                <w:color w:val="000000"/>
                <w:sz w:val="24"/>
                <w:szCs w:val="24"/>
              </w:rPr>
            </w:pPr>
            <w:r w:rsidRPr="00836F80">
              <w:rPr>
                <w:sz w:val="24"/>
                <w:szCs w:val="24"/>
              </w:rPr>
              <w:t>Appuyer l’équipe pour la capitalisation des diverses composantes du projet afin d’assurer la continuité et viabilité/durabilité.</w:t>
            </w:r>
          </w:p>
          <w:p w14:paraId="64C849AB" w14:textId="77777777" w:rsidR="00785C32" w:rsidRDefault="00785C32">
            <w:pPr>
              <w:pBdr>
                <w:top w:val="nil"/>
                <w:left w:val="nil"/>
                <w:bottom w:val="nil"/>
                <w:right w:val="nil"/>
                <w:between w:val="nil"/>
              </w:pBdr>
              <w:tabs>
                <w:tab w:val="left" w:pos="-720"/>
                <w:tab w:val="left" w:pos="720"/>
              </w:tabs>
              <w:spacing w:before="280" w:line="240" w:lineRule="auto"/>
              <w:rPr>
                <w:color w:val="000000"/>
                <w:sz w:val="24"/>
                <w:szCs w:val="24"/>
              </w:rPr>
            </w:pPr>
          </w:p>
        </w:tc>
      </w:tr>
      <w:tr w:rsidR="00785C32" w14:paraId="43B87AF0" w14:textId="77777777">
        <w:trPr>
          <w:trHeight w:val="436"/>
        </w:trPr>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248A1211" w14:textId="77777777" w:rsidR="00785C32" w:rsidRDefault="00000000">
            <w:pPr>
              <w:tabs>
                <w:tab w:val="left" w:pos="-720"/>
              </w:tabs>
              <w:spacing w:after="0" w:line="240" w:lineRule="auto"/>
              <w:jc w:val="both"/>
              <w:rPr>
                <w:rFonts w:ascii="Arial" w:eastAsia="Arial" w:hAnsi="Arial" w:cs="Arial"/>
                <w:b/>
                <w:i/>
                <w:sz w:val="24"/>
                <w:szCs w:val="24"/>
              </w:rPr>
            </w:pPr>
            <w:r>
              <w:rPr>
                <w:b/>
                <w:i/>
                <w:sz w:val="24"/>
                <w:szCs w:val="24"/>
              </w:rPr>
              <w:lastRenderedPageBreak/>
              <w:t>Condition et durée de travail</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FE3DD95" w14:textId="40A5559E" w:rsidR="00785C32" w:rsidRDefault="00000000">
            <w:pPr>
              <w:tabs>
                <w:tab w:val="left" w:pos="-720"/>
              </w:tabs>
              <w:spacing w:before="40" w:after="54" w:line="240" w:lineRule="auto"/>
              <w:ind w:left="360"/>
              <w:rPr>
                <w:sz w:val="24"/>
                <w:szCs w:val="24"/>
              </w:rPr>
            </w:pPr>
            <w:r>
              <w:rPr>
                <w:b/>
                <w:sz w:val="24"/>
                <w:szCs w:val="24"/>
              </w:rPr>
              <w:t xml:space="preserve">Durée : </w:t>
            </w:r>
            <w:r w:rsidR="002A64A8">
              <w:rPr>
                <w:b/>
                <w:sz w:val="24"/>
                <w:szCs w:val="24"/>
              </w:rPr>
              <w:t>29 jours</w:t>
            </w:r>
            <w:r>
              <w:rPr>
                <w:sz w:val="24"/>
                <w:szCs w:val="24"/>
              </w:rPr>
              <w:t xml:space="preserve"> de travail effectif étalés entre le </w:t>
            </w:r>
            <w:r w:rsidR="002A64A8">
              <w:rPr>
                <w:b/>
                <w:sz w:val="24"/>
                <w:szCs w:val="24"/>
              </w:rPr>
              <w:t xml:space="preserve"> 15</w:t>
            </w:r>
            <w:r>
              <w:rPr>
                <w:b/>
                <w:sz w:val="24"/>
                <w:szCs w:val="24"/>
              </w:rPr>
              <w:t xml:space="preserve"> novembre 2023 au Mai 2024</w:t>
            </w:r>
            <w:r>
              <w:rPr>
                <w:sz w:val="24"/>
                <w:szCs w:val="24"/>
              </w:rPr>
              <w:t xml:space="preserve"> </w:t>
            </w:r>
          </w:p>
        </w:tc>
      </w:tr>
      <w:tr w:rsidR="00785C32" w14:paraId="1C17CDBA" w14:textId="77777777">
        <w:trPr>
          <w:trHeight w:val="1089"/>
        </w:trPr>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175132EA" w14:textId="77777777" w:rsidR="00785C32" w:rsidRDefault="00000000">
            <w:pPr>
              <w:tabs>
                <w:tab w:val="left" w:pos="-720"/>
              </w:tabs>
              <w:spacing w:after="0" w:line="240" w:lineRule="auto"/>
              <w:jc w:val="both"/>
              <w:rPr>
                <w:b/>
                <w:i/>
                <w:sz w:val="24"/>
                <w:szCs w:val="24"/>
              </w:rPr>
            </w:pPr>
            <w:r>
              <w:rPr>
                <w:b/>
                <w:i/>
                <w:sz w:val="24"/>
                <w:szCs w:val="24"/>
              </w:rPr>
              <w:t>Lieu</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11AF9CD" w14:textId="77777777" w:rsidR="00785C32" w:rsidRDefault="00000000">
            <w:pPr>
              <w:tabs>
                <w:tab w:val="left" w:pos="-720"/>
              </w:tabs>
              <w:spacing w:before="40" w:after="54" w:line="240" w:lineRule="auto"/>
              <w:ind w:left="360"/>
              <w:rPr>
                <w:sz w:val="24"/>
                <w:szCs w:val="24"/>
              </w:rPr>
            </w:pPr>
            <w:r>
              <w:rPr>
                <w:sz w:val="24"/>
                <w:szCs w:val="24"/>
              </w:rPr>
              <w:t xml:space="preserve">Tunis et à distance </w:t>
            </w:r>
          </w:p>
          <w:p w14:paraId="22EDE931" w14:textId="77777777" w:rsidR="00785C32" w:rsidRDefault="00785C32">
            <w:pPr>
              <w:tabs>
                <w:tab w:val="left" w:pos="-720"/>
              </w:tabs>
              <w:spacing w:before="40" w:after="54" w:line="240" w:lineRule="auto"/>
              <w:ind w:left="360"/>
              <w:rPr>
                <w:sz w:val="24"/>
                <w:szCs w:val="24"/>
              </w:rPr>
            </w:pPr>
          </w:p>
        </w:tc>
      </w:tr>
      <w:tr w:rsidR="00785C32" w14:paraId="417A384D" w14:textId="77777777">
        <w:trPr>
          <w:trHeight w:val="3339"/>
        </w:trPr>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583C12A3" w14:textId="77777777" w:rsidR="00785C32" w:rsidRDefault="00000000">
            <w:pPr>
              <w:tabs>
                <w:tab w:val="left" w:pos="-720"/>
              </w:tabs>
              <w:spacing w:before="40" w:after="54" w:line="240" w:lineRule="auto"/>
              <w:jc w:val="both"/>
              <w:rPr>
                <w:b/>
                <w:i/>
                <w:sz w:val="24"/>
                <w:szCs w:val="24"/>
              </w:rPr>
            </w:pPr>
            <w:r>
              <w:rPr>
                <w:b/>
                <w:i/>
                <w:sz w:val="24"/>
                <w:szCs w:val="24"/>
              </w:rPr>
              <w:t>Livrables et délais</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3A3EEA7" w14:textId="56D508FC" w:rsidR="00785C32" w:rsidRDefault="00000000">
            <w:pPr>
              <w:numPr>
                <w:ilvl w:val="0"/>
                <w:numId w:val="2"/>
              </w:numPr>
              <w:pBdr>
                <w:top w:val="nil"/>
                <w:left w:val="nil"/>
                <w:bottom w:val="nil"/>
                <w:right w:val="nil"/>
                <w:between w:val="nil"/>
              </w:pBdr>
              <w:tabs>
                <w:tab w:val="left" w:pos="-720"/>
              </w:tabs>
              <w:spacing w:before="40" w:after="0" w:line="240" w:lineRule="auto"/>
              <w:rPr>
                <w:b/>
                <w:color w:val="000000"/>
                <w:sz w:val="24"/>
                <w:szCs w:val="24"/>
              </w:rPr>
            </w:pPr>
            <w:r>
              <w:rPr>
                <w:color w:val="000000"/>
                <w:sz w:val="24"/>
                <w:szCs w:val="24"/>
              </w:rPr>
              <w:t xml:space="preserve">Elaboration d’un draft des outils de suivi et évaluation </w:t>
            </w:r>
            <w:r w:rsidR="002A64A8">
              <w:rPr>
                <w:b/>
                <w:color w:val="000000"/>
                <w:sz w:val="24"/>
                <w:szCs w:val="24"/>
              </w:rPr>
              <w:t xml:space="preserve">30 </w:t>
            </w:r>
            <w:r>
              <w:rPr>
                <w:b/>
                <w:color w:val="000000"/>
                <w:sz w:val="24"/>
                <w:szCs w:val="24"/>
              </w:rPr>
              <w:t xml:space="preserve">novembre 2023 ( </w:t>
            </w:r>
            <w:r w:rsidR="002A64A8">
              <w:rPr>
                <w:b/>
                <w:color w:val="000000"/>
                <w:sz w:val="24"/>
                <w:szCs w:val="24"/>
              </w:rPr>
              <w:t>08</w:t>
            </w:r>
            <w:r>
              <w:rPr>
                <w:b/>
                <w:color w:val="000000"/>
                <w:sz w:val="24"/>
                <w:szCs w:val="24"/>
              </w:rPr>
              <w:t xml:space="preserve"> jours)</w:t>
            </w:r>
          </w:p>
          <w:p w14:paraId="130744AD" w14:textId="6DC10412" w:rsidR="00785C32" w:rsidRDefault="00000000">
            <w:pPr>
              <w:numPr>
                <w:ilvl w:val="0"/>
                <w:numId w:val="2"/>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Elaboration d’un système de suivi et évaluation complet avec des recommandations validés </w:t>
            </w:r>
            <w:r w:rsidR="002A64A8">
              <w:rPr>
                <w:b/>
                <w:color w:val="000000"/>
                <w:sz w:val="24"/>
                <w:szCs w:val="24"/>
              </w:rPr>
              <w:t>10</w:t>
            </w:r>
            <w:r>
              <w:rPr>
                <w:b/>
                <w:color w:val="000000"/>
                <w:sz w:val="24"/>
                <w:szCs w:val="24"/>
              </w:rPr>
              <w:t xml:space="preserve"> décembre 2023 ( 1</w:t>
            </w:r>
            <w:r w:rsidR="002A64A8">
              <w:rPr>
                <w:b/>
                <w:color w:val="000000"/>
                <w:sz w:val="24"/>
                <w:szCs w:val="24"/>
              </w:rPr>
              <w:t>2</w:t>
            </w:r>
            <w:r>
              <w:rPr>
                <w:b/>
                <w:color w:val="000000"/>
                <w:sz w:val="24"/>
                <w:szCs w:val="24"/>
              </w:rPr>
              <w:t xml:space="preserve"> jours)</w:t>
            </w:r>
          </w:p>
          <w:p w14:paraId="18E269AE" w14:textId="2640D5BE" w:rsidR="00785C32" w:rsidRDefault="00000000">
            <w:pPr>
              <w:numPr>
                <w:ilvl w:val="0"/>
                <w:numId w:val="2"/>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Elaboration des termes de références pour le recrutement d’une boite pour l’évaluation finale du projet </w:t>
            </w:r>
            <w:r w:rsidR="002A64A8">
              <w:rPr>
                <w:b/>
                <w:color w:val="000000"/>
                <w:sz w:val="24"/>
                <w:szCs w:val="24"/>
              </w:rPr>
              <w:t>25</w:t>
            </w:r>
            <w:r>
              <w:rPr>
                <w:b/>
                <w:color w:val="000000"/>
                <w:sz w:val="24"/>
                <w:szCs w:val="24"/>
              </w:rPr>
              <w:t xml:space="preserve"> janvier 2024 (</w:t>
            </w:r>
            <w:r w:rsidR="002A64A8">
              <w:rPr>
                <w:b/>
                <w:color w:val="000000"/>
                <w:sz w:val="24"/>
                <w:szCs w:val="24"/>
              </w:rPr>
              <w:t>2</w:t>
            </w:r>
            <w:r>
              <w:rPr>
                <w:b/>
                <w:color w:val="000000"/>
                <w:sz w:val="24"/>
                <w:szCs w:val="24"/>
              </w:rPr>
              <w:t xml:space="preserve"> jours) </w:t>
            </w:r>
          </w:p>
          <w:p w14:paraId="40FD00F7" w14:textId="7241B9C0" w:rsidR="00785C32" w:rsidRPr="002A64A8" w:rsidRDefault="00000000">
            <w:pPr>
              <w:numPr>
                <w:ilvl w:val="0"/>
                <w:numId w:val="2"/>
              </w:numPr>
              <w:pBdr>
                <w:top w:val="nil"/>
                <w:left w:val="nil"/>
                <w:bottom w:val="nil"/>
                <w:right w:val="nil"/>
                <w:between w:val="nil"/>
              </w:pBdr>
              <w:tabs>
                <w:tab w:val="left" w:pos="-720"/>
              </w:tabs>
              <w:spacing w:after="0" w:line="240" w:lineRule="auto"/>
              <w:rPr>
                <w:b/>
                <w:bCs/>
                <w:color w:val="000000"/>
                <w:sz w:val="24"/>
                <w:szCs w:val="24"/>
              </w:rPr>
            </w:pPr>
            <w:r>
              <w:rPr>
                <w:color w:val="000000"/>
                <w:sz w:val="24"/>
                <w:szCs w:val="24"/>
              </w:rPr>
              <w:t xml:space="preserve">Capitalisation des leçons apprises et des bonnes pratiques </w:t>
            </w:r>
            <w:r w:rsidRPr="002A64A8">
              <w:rPr>
                <w:b/>
                <w:bCs/>
                <w:color w:val="000000"/>
                <w:sz w:val="24"/>
                <w:szCs w:val="24"/>
              </w:rPr>
              <w:t xml:space="preserve">; 20 février 2024 ( </w:t>
            </w:r>
            <w:r w:rsidR="002A64A8">
              <w:rPr>
                <w:b/>
                <w:bCs/>
                <w:color w:val="000000"/>
                <w:sz w:val="24"/>
                <w:szCs w:val="24"/>
              </w:rPr>
              <w:t>05</w:t>
            </w:r>
            <w:r w:rsidRPr="002A64A8">
              <w:rPr>
                <w:b/>
                <w:bCs/>
                <w:color w:val="000000"/>
                <w:sz w:val="24"/>
                <w:szCs w:val="24"/>
              </w:rPr>
              <w:t xml:space="preserve"> jours)</w:t>
            </w:r>
          </w:p>
          <w:p w14:paraId="451AEBE1" w14:textId="6C41FEC5" w:rsidR="00785C32" w:rsidRDefault="00000000">
            <w:pPr>
              <w:numPr>
                <w:ilvl w:val="0"/>
                <w:numId w:val="2"/>
              </w:numPr>
              <w:pBdr>
                <w:top w:val="nil"/>
                <w:left w:val="nil"/>
                <w:bottom w:val="nil"/>
                <w:right w:val="nil"/>
                <w:between w:val="nil"/>
              </w:pBdr>
              <w:tabs>
                <w:tab w:val="left" w:pos="-720"/>
              </w:tabs>
              <w:spacing w:after="54" w:line="240" w:lineRule="auto"/>
              <w:rPr>
                <w:color w:val="000000"/>
                <w:sz w:val="24"/>
                <w:szCs w:val="24"/>
              </w:rPr>
            </w:pPr>
            <w:r>
              <w:rPr>
                <w:color w:val="000000"/>
                <w:sz w:val="24"/>
                <w:szCs w:val="24"/>
              </w:rPr>
              <w:t>Accompagnement du processus d’évaluation finale du projet</w:t>
            </w:r>
            <w:r>
              <w:rPr>
                <w:b/>
                <w:color w:val="000000"/>
                <w:sz w:val="24"/>
                <w:szCs w:val="24"/>
              </w:rPr>
              <w:t xml:space="preserve"> avril – mai 2024 ( </w:t>
            </w:r>
            <w:r w:rsidR="002A64A8">
              <w:rPr>
                <w:b/>
                <w:color w:val="000000"/>
                <w:sz w:val="24"/>
                <w:szCs w:val="24"/>
              </w:rPr>
              <w:t>2</w:t>
            </w:r>
            <w:r>
              <w:rPr>
                <w:b/>
                <w:color w:val="000000"/>
                <w:sz w:val="24"/>
                <w:szCs w:val="24"/>
              </w:rPr>
              <w:t xml:space="preserve"> jours)</w:t>
            </w:r>
          </w:p>
          <w:p w14:paraId="34D80303" w14:textId="77777777" w:rsidR="00785C32" w:rsidRDefault="00785C32">
            <w:pPr>
              <w:tabs>
                <w:tab w:val="left" w:pos="-720"/>
              </w:tabs>
              <w:spacing w:before="40" w:after="54" w:line="240" w:lineRule="auto"/>
              <w:ind w:left="360"/>
              <w:rPr>
                <w:sz w:val="24"/>
                <w:szCs w:val="24"/>
              </w:rPr>
            </w:pPr>
          </w:p>
          <w:p w14:paraId="5DF84F9F" w14:textId="77777777" w:rsidR="00785C32" w:rsidRDefault="00785C32">
            <w:pPr>
              <w:tabs>
                <w:tab w:val="left" w:pos="-720"/>
              </w:tabs>
              <w:spacing w:before="40" w:after="54" w:line="240" w:lineRule="auto"/>
              <w:ind w:left="360"/>
              <w:rPr>
                <w:sz w:val="24"/>
                <w:szCs w:val="24"/>
              </w:rPr>
            </w:pPr>
          </w:p>
          <w:p w14:paraId="1A13762F" w14:textId="77777777" w:rsidR="00785C32" w:rsidRDefault="00785C32">
            <w:pPr>
              <w:tabs>
                <w:tab w:val="left" w:pos="-720"/>
              </w:tabs>
              <w:spacing w:before="40" w:after="54" w:line="240" w:lineRule="auto"/>
              <w:ind w:left="360"/>
              <w:rPr>
                <w:sz w:val="24"/>
                <w:szCs w:val="24"/>
              </w:rPr>
            </w:pPr>
          </w:p>
          <w:p w14:paraId="77A9A05E" w14:textId="77777777" w:rsidR="00785C32" w:rsidRDefault="00000000">
            <w:pPr>
              <w:tabs>
                <w:tab w:val="left" w:pos="-720"/>
              </w:tabs>
              <w:spacing w:before="40" w:after="54" w:line="240" w:lineRule="auto"/>
              <w:ind w:left="360"/>
              <w:rPr>
                <w:sz w:val="24"/>
                <w:szCs w:val="24"/>
              </w:rPr>
            </w:pPr>
            <w:r>
              <w:rPr>
                <w:sz w:val="24"/>
                <w:szCs w:val="24"/>
              </w:rPr>
              <w:t xml:space="preserve"> </w:t>
            </w:r>
          </w:p>
        </w:tc>
      </w:tr>
      <w:tr w:rsidR="00785C32" w14:paraId="603B2A85" w14:textId="77777777">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08CEA915" w14:textId="77777777" w:rsidR="00785C32" w:rsidRDefault="00000000">
            <w:pPr>
              <w:tabs>
                <w:tab w:val="left" w:pos="-720"/>
              </w:tabs>
              <w:spacing w:before="40" w:after="54" w:line="240" w:lineRule="auto"/>
              <w:jc w:val="both"/>
              <w:rPr>
                <w:b/>
                <w:i/>
                <w:sz w:val="24"/>
                <w:szCs w:val="24"/>
              </w:rPr>
            </w:pPr>
            <w:r>
              <w:rPr>
                <w:b/>
                <w:i/>
                <w:sz w:val="24"/>
                <w:szCs w:val="24"/>
              </w:rPr>
              <w:t>Suivi/monitoring</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B394C90" w14:textId="77777777" w:rsidR="00785C32" w:rsidRDefault="00000000">
            <w:pPr>
              <w:tabs>
                <w:tab w:val="left" w:pos="-720"/>
              </w:tabs>
              <w:spacing w:before="40" w:after="54" w:line="240" w:lineRule="auto"/>
              <w:rPr>
                <w:rFonts w:ascii="Arial" w:eastAsia="Arial" w:hAnsi="Arial" w:cs="Arial"/>
              </w:rPr>
            </w:pPr>
            <w:r>
              <w:rPr>
                <w:rFonts w:ascii="Arial" w:eastAsia="Arial" w:hAnsi="Arial" w:cs="Arial"/>
              </w:rPr>
              <w:t xml:space="preserve">Le consultant.e est amené e à communiquer le suivi global du déroulement de la mission d’une manière périodique à la cheffe du projet « Pour un meilleur accès des personnes handicapées aux services et aux droits en Tunisie » à l’UNFPA ainsi que responsables du projet des partenaires </w:t>
            </w:r>
          </w:p>
        </w:tc>
      </w:tr>
      <w:tr w:rsidR="00785C32" w14:paraId="0875A7DA" w14:textId="77777777">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58DB140B" w14:textId="77777777" w:rsidR="00785C32" w:rsidRDefault="00000000">
            <w:pPr>
              <w:tabs>
                <w:tab w:val="left" w:pos="-720"/>
              </w:tabs>
              <w:spacing w:before="40" w:after="54" w:line="240" w:lineRule="auto"/>
              <w:jc w:val="both"/>
              <w:rPr>
                <w:b/>
                <w:i/>
                <w:sz w:val="24"/>
                <w:szCs w:val="24"/>
              </w:rPr>
            </w:pPr>
            <w:r>
              <w:rPr>
                <w:b/>
                <w:i/>
                <w:sz w:val="24"/>
                <w:szCs w:val="24"/>
              </w:rPr>
              <w:t>Supervision</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79CE121" w14:textId="77777777" w:rsidR="00785C32" w:rsidRDefault="00000000">
            <w:pPr>
              <w:tabs>
                <w:tab w:val="left" w:pos="-720"/>
              </w:tabs>
              <w:spacing w:before="40" w:after="54" w:line="240" w:lineRule="auto"/>
              <w:jc w:val="both"/>
              <w:rPr>
                <w:rFonts w:ascii="Arial" w:eastAsia="Arial" w:hAnsi="Arial" w:cs="Arial"/>
              </w:rPr>
            </w:pPr>
            <w:r>
              <w:rPr>
                <w:rFonts w:ascii="Arial" w:eastAsia="Arial" w:hAnsi="Arial" w:cs="Arial"/>
              </w:rPr>
              <w:t>Cheffe de projet « Pour un meilleur accès des personnes handicapées aux services et aux droits en Tunisie » à l’UNFPA</w:t>
            </w:r>
          </w:p>
        </w:tc>
      </w:tr>
      <w:tr w:rsidR="00785C32" w14:paraId="1227790A" w14:textId="77777777">
        <w:trPr>
          <w:trHeight w:val="4490"/>
        </w:trPr>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24B50926" w14:textId="77777777" w:rsidR="00785C32" w:rsidRDefault="00000000">
            <w:pPr>
              <w:tabs>
                <w:tab w:val="left" w:pos="-720"/>
              </w:tabs>
              <w:spacing w:before="40" w:after="0" w:line="240" w:lineRule="auto"/>
              <w:jc w:val="both"/>
              <w:rPr>
                <w:rFonts w:ascii="Arial" w:eastAsia="Arial" w:hAnsi="Arial" w:cs="Arial"/>
              </w:rPr>
            </w:pPr>
            <w:r>
              <w:rPr>
                <w:b/>
                <w:i/>
                <w:sz w:val="24"/>
                <w:szCs w:val="24"/>
              </w:rPr>
              <w:lastRenderedPageBreak/>
              <w:t>Qualifications et expérience</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02CBE10" w14:textId="77777777" w:rsidR="00785C32" w:rsidRDefault="00000000">
            <w:pPr>
              <w:tabs>
                <w:tab w:val="left" w:pos="1335"/>
              </w:tabs>
              <w:spacing w:after="0" w:line="240" w:lineRule="auto"/>
              <w:rPr>
                <w:rFonts w:ascii="Arial" w:eastAsia="Arial" w:hAnsi="Arial" w:cs="Arial"/>
              </w:rPr>
            </w:pPr>
            <w:r>
              <w:rPr>
                <w:rFonts w:ascii="Arial" w:eastAsia="Arial" w:hAnsi="Arial" w:cs="Arial"/>
              </w:rPr>
              <w:t xml:space="preserve">Afin de mener la présente consultation, </w:t>
            </w:r>
            <w:r>
              <w:rPr>
                <w:rFonts w:ascii="Arial" w:eastAsia="Arial" w:hAnsi="Arial" w:cs="Arial"/>
                <w:b/>
              </w:rPr>
              <w:t xml:space="preserve">, </w:t>
            </w:r>
            <w:r>
              <w:rPr>
                <w:rFonts w:ascii="Arial" w:eastAsia="Arial" w:hAnsi="Arial" w:cs="Arial"/>
              </w:rPr>
              <w:t>avec les qualifications suivantes :</w:t>
            </w:r>
          </w:p>
          <w:p w14:paraId="5F843BAF" w14:textId="77777777" w:rsidR="00785C32" w:rsidRDefault="00785C32">
            <w:pPr>
              <w:tabs>
                <w:tab w:val="left" w:pos="1335"/>
              </w:tabs>
              <w:spacing w:after="0" w:line="240" w:lineRule="auto"/>
              <w:rPr>
                <w:rFonts w:ascii="Arial" w:eastAsia="Arial" w:hAnsi="Arial" w:cs="Arial"/>
              </w:rPr>
            </w:pPr>
          </w:p>
          <w:p w14:paraId="6EF29A8A" w14:textId="77777777" w:rsidR="00785C32" w:rsidRDefault="00000000">
            <w:pPr>
              <w:widowControl w:val="0"/>
              <w:numPr>
                <w:ilvl w:val="0"/>
                <w:numId w:val="4"/>
              </w:numPr>
              <w:pBdr>
                <w:top w:val="nil"/>
                <w:left w:val="nil"/>
                <w:bottom w:val="nil"/>
                <w:right w:val="nil"/>
                <w:between w:val="nil"/>
              </w:pBdr>
              <w:tabs>
                <w:tab w:val="left" w:pos="-720"/>
                <w:tab w:val="left" w:pos="0"/>
                <w:tab w:val="left" w:pos="90"/>
                <w:tab w:val="left" w:pos="720"/>
              </w:tabs>
              <w:spacing w:after="0" w:line="276" w:lineRule="auto"/>
              <w:rPr>
                <w:rFonts w:ascii="Arial" w:eastAsia="Arial" w:hAnsi="Arial" w:cs="Arial"/>
                <w:color w:val="000000"/>
              </w:rPr>
            </w:pPr>
            <w:r>
              <w:rPr>
                <w:rFonts w:ascii="Arial" w:eastAsia="Arial" w:hAnsi="Arial" w:cs="Arial"/>
                <w:color w:val="000000"/>
              </w:rPr>
              <w:t xml:space="preserve">Diplôme universitaire supérieur en Sciences humaines ou sociales, économie, statistiques, ou en Suivi évaluation ou dans des domaines équivalents </w:t>
            </w:r>
          </w:p>
          <w:p w14:paraId="6C1F8489" w14:textId="77777777" w:rsidR="00785C32" w:rsidRDefault="00000000">
            <w:pPr>
              <w:widowControl w:val="0"/>
              <w:numPr>
                <w:ilvl w:val="0"/>
                <w:numId w:val="4"/>
              </w:numPr>
              <w:pBdr>
                <w:top w:val="nil"/>
                <w:left w:val="nil"/>
                <w:bottom w:val="nil"/>
                <w:right w:val="nil"/>
                <w:between w:val="nil"/>
              </w:pBdr>
              <w:tabs>
                <w:tab w:val="left" w:pos="-720"/>
                <w:tab w:val="left" w:pos="0"/>
                <w:tab w:val="left" w:pos="90"/>
                <w:tab w:val="left" w:pos="720"/>
              </w:tabs>
              <w:spacing w:after="0" w:line="276" w:lineRule="auto"/>
              <w:rPr>
                <w:rFonts w:ascii="Arial" w:eastAsia="Arial" w:hAnsi="Arial" w:cs="Arial"/>
                <w:color w:val="000000"/>
              </w:rPr>
            </w:pPr>
            <w:r>
              <w:rPr>
                <w:rFonts w:ascii="Arial" w:eastAsia="Arial" w:hAnsi="Arial" w:cs="Arial"/>
                <w:color w:val="000000"/>
              </w:rPr>
              <w:t>Expérience d’au moins cinq (5) an</w:t>
            </w:r>
            <w:sdt>
              <w:sdtPr>
                <w:tag w:val="goog_rdk_28"/>
                <w:id w:val="-334606218"/>
              </w:sdtPr>
              <w:sdtContent>
                <w:r>
                  <w:rPr>
                    <w:rFonts w:ascii="Arial" w:eastAsia="Arial" w:hAnsi="Arial" w:cs="Arial"/>
                    <w:color w:val="000000"/>
                  </w:rPr>
                  <w:t>s</w:t>
                </w:r>
              </w:sdtContent>
            </w:sdt>
            <w:r>
              <w:rPr>
                <w:rFonts w:ascii="Arial" w:eastAsia="Arial" w:hAnsi="Arial" w:cs="Arial"/>
                <w:color w:val="000000"/>
              </w:rPr>
              <w:t xml:space="preserve"> dans la gestion de projets, de suivi et l’évaluation de projets de coopération au développement, y compris la conception, la planification, la gestion et la mise en œuvre d’évaluation et de stratégies de suivi et d’évaluation dans le contexte de cadre logique et de la théorie de changement.</w:t>
            </w:r>
          </w:p>
          <w:p w14:paraId="102C64E6" w14:textId="77777777" w:rsidR="00785C32" w:rsidRDefault="00000000">
            <w:pPr>
              <w:widowControl w:val="0"/>
              <w:numPr>
                <w:ilvl w:val="0"/>
                <w:numId w:val="4"/>
              </w:numPr>
              <w:pBdr>
                <w:top w:val="nil"/>
                <w:left w:val="nil"/>
                <w:bottom w:val="nil"/>
                <w:right w:val="nil"/>
                <w:between w:val="nil"/>
              </w:pBdr>
              <w:tabs>
                <w:tab w:val="left" w:pos="-720"/>
                <w:tab w:val="left" w:pos="0"/>
                <w:tab w:val="left" w:pos="90"/>
                <w:tab w:val="left" w:pos="720"/>
              </w:tabs>
              <w:spacing w:after="0" w:line="276" w:lineRule="auto"/>
              <w:rPr>
                <w:rFonts w:ascii="Arial" w:eastAsia="Arial" w:hAnsi="Arial" w:cs="Arial"/>
                <w:color w:val="000000"/>
              </w:rPr>
            </w:pPr>
            <w:r>
              <w:rPr>
                <w:rFonts w:ascii="Arial" w:eastAsia="Arial" w:hAnsi="Arial" w:cs="Arial"/>
                <w:color w:val="000000"/>
              </w:rPr>
              <w:t xml:space="preserve"> Excellente maîtrise à l’écrit et à l’oral du français et de l’arabe. L’anglais serait un atout</w:t>
            </w:r>
          </w:p>
        </w:tc>
      </w:tr>
      <w:tr w:rsidR="00785C32" w14:paraId="30D37893" w14:textId="77777777">
        <w:trPr>
          <w:trHeight w:val="2257"/>
        </w:trPr>
        <w:tc>
          <w:tcPr>
            <w:tcW w:w="2178" w:type="dxa"/>
            <w:tcBorders>
              <w:top w:val="single" w:sz="6" w:space="0" w:color="000000"/>
              <w:left w:val="single" w:sz="6" w:space="0" w:color="000000"/>
              <w:bottom w:val="single" w:sz="6" w:space="0" w:color="000000"/>
            </w:tcBorders>
            <w:shd w:val="clear" w:color="auto" w:fill="auto"/>
            <w:tcMar>
              <w:left w:w="148" w:type="dxa"/>
              <w:right w:w="148" w:type="dxa"/>
            </w:tcMar>
          </w:tcPr>
          <w:p w14:paraId="0F5B31ED" w14:textId="77777777" w:rsidR="00785C32" w:rsidRDefault="00000000">
            <w:pPr>
              <w:tabs>
                <w:tab w:val="left" w:pos="-720"/>
              </w:tabs>
              <w:spacing w:before="40" w:after="0" w:line="240" w:lineRule="auto"/>
              <w:jc w:val="both"/>
              <w:rPr>
                <w:b/>
                <w:i/>
                <w:sz w:val="24"/>
                <w:szCs w:val="24"/>
              </w:rPr>
            </w:pPr>
            <w:r>
              <w:rPr>
                <w:b/>
                <w:i/>
                <w:sz w:val="24"/>
                <w:szCs w:val="24"/>
              </w:rPr>
              <w:t>Soumission des candidatures:</w:t>
            </w:r>
          </w:p>
        </w:tc>
        <w:tc>
          <w:tcPr>
            <w:tcW w:w="817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8971AE7" w14:textId="77777777" w:rsidR="00785C32" w:rsidRDefault="00000000">
            <w:pPr>
              <w:tabs>
                <w:tab w:val="left" w:pos="1335"/>
              </w:tabs>
              <w:spacing w:after="0" w:line="240" w:lineRule="auto"/>
              <w:rPr>
                <w:rFonts w:ascii="Arial" w:eastAsia="Arial" w:hAnsi="Arial" w:cs="Arial"/>
              </w:rPr>
            </w:pPr>
            <w:r>
              <w:rPr>
                <w:rFonts w:ascii="Arial" w:eastAsia="Arial" w:hAnsi="Arial" w:cs="Arial"/>
              </w:rPr>
              <w:t>Les bureaux de conseil et de formation intéressés sont appelés à soumettre leur meilleure offre comportant :</w:t>
            </w:r>
          </w:p>
          <w:p w14:paraId="17EFE68A" w14:textId="77777777" w:rsidR="00785C32" w:rsidRDefault="00000000">
            <w:pPr>
              <w:numPr>
                <w:ilvl w:val="0"/>
                <w:numId w:val="3"/>
              </w:numPr>
              <w:pBdr>
                <w:top w:val="nil"/>
                <w:left w:val="nil"/>
                <w:bottom w:val="nil"/>
                <w:right w:val="nil"/>
                <w:between w:val="nil"/>
              </w:pBdr>
              <w:tabs>
                <w:tab w:val="left" w:pos="1335"/>
              </w:tabs>
              <w:spacing w:after="0" w:line="240" w:lineRule="auto"/>
              <w:rPr>
                <w:rFonts w:ascii="Arial" w:eastAsia="Arial" w:hAnsi="Arial" w:cs="Arial"/>
                <w:color w:val="000000"/>
              </w:rPr>
            </w:pPr>
            <w:r>
              <w:rPr>
                <w:rFonts w:ascii="Arial" w:eastAsia="Arial" w:hAnsi="Arial" w:cs="Arial"/>
                <w:b/>
                <w:color w:val="000000"/>
              </w:rPr>
              <w:t>L’offre technique</w:t>
            </w:r>
            <w:r>
              <w:rPr>
                <w:rFonts w:ascii="Arial" w:eastAsia="Arial" w:hAnsi="Arial" w:cs="Arial"/>
                <w:color w:val="000000"/>
              </w:rPr>
              <w:t xml:space="preserve"> incluant : Une brève note méthodologique avec un chronogramme prévisionnel respectant les délais énoncés</w:t>
            </w:r>
          </w:p>
          <w:p w14:paraId="696BEEB5" w14:textId="77777777" w:rsidR="00785C32" w:rsidRDefault="00000000">
            <w:pPr>
              <w:numPr>
                <w:ilvl w:val="0"/>
                <w:numId w:val="3"/>
              </w:numPr>
              <w:pBdr>
                <w:top w:val="nil"/>
                <w:left w:val="nil"/>
                <w:bottom w:val="nil"/>
                <w:right w:val="nil"/>
                <w:between w:val="nil"/>
              </w:pBdr>
              <w:tabs>
                <w:tab w:val="left" w:pos="1335"/>
              </w:tabs>
              <w:spacing w:after="0" w:line="240" w:lineRule="auto"/>
              <w:rPr>
                <w:rFonts w:ascii="Arial" w:eastAsia="Arial" w:hAnsi="Arial" w:cs="Arial"/>
                <w:color w:val="000000"/>
              </w:rPr>
            </w:pPr>
            <w:r>
              <w:rPr>
                <w:rFonts w:ascii="Arial" w:eastAsia="Arial" w:hAnsi="Arial" w:cs="Arial"/>
                <w:b/>
                <w:color w:val="000000"/>
              </w:rPr>
              <w:t>L’offre financière</w:t>
            </w:r>
            <w:r>
              <w:rPr>
                <w:rFonts w:ascii="Arial" w:eastAsia="Arial" w:hAnsi="Arial" w:cs="Arial"/>
                <w:color w:val="000000"/>
              </w:rPr>
              <w:t xml:space="preserve"> détaillée </w:t>
            </w:r>
          </w:p>
          <w:p w14:paraId="6CB186E5" w14:textId="77777777" w:rsidR="00785C32" w:rsidRDefault="00000000">
            <w:pPr>
              <w:numPr>
                <w:ilvl w:val="0"/>
                <w:numId w:val="3"/>
              </w:numPr>
              <w:pBdr>
                <w:top w:val="nil"/>
                <w:left w:val="nil"/>
                <w:bottom w:val="nil"/>
                <w:right w:val="nil"/>
                <w:between w:val="nil"/>
              </w:pBdr>
              <w:tabs>
                <w:tab w:val="left" w:pos="1335"/>
              </w:tabs>
              <w:spacing w:after="0" w:line="240" w:lineRule="auto"/>
              <w:rPr>
                <w:rFonts w:ascii="Arial" w:eastAsia="Arial" w:hAnsi="Arial" w:cs="Arial"/>
                <w:color w:val="000000"/>
              </w:rPr>
            </w:pPr>
            <w:r>
              <w:rPr>
                <w:rFonts w:ascii="Arial" w:eastAsia="Arial" w:hAnsi="Arial" w:cs="Arial"/>
                <w:b/>
                <w:color w:val="000000"/>
              </w:rPr>
              <w:t>Le CV détaillé</w:t>
            </w:r>
          </w:p>
          <w:p w14:paraId="7190E3AB" w14:textId="77777777" w:rsidR="00785C32" w:rsidRDefault="00000000">
            <w:pPr>
              <w:tabs>
                <w:tab w:val="left" w:pos="1335"/>
              </w:tabs>
              <w:spacing w:after="0" w:line="240" w:lineRule="auto"/>
              <w:rPr>
                <w:rFonts w:ascii="Arial" w:eastAsia="Arial" w:hAnsi="Arial" w:cs="Arial"/>
              </w:rPr>
            </w:pPr>
            <w:r>
              <w:rPr>
                <w:rFonts w:ascii="Arial" w:eastAsia="Arial" w:hAnsi="Arial" w:cs="Arial"/>
              </w:rPr>
              <w:t>Le dossier de candidature devra être soumis par email à l’adresse suivante :</w:t>
            </w:r>
          </w:p>
          <w:p w14:paraId="5E7B074A" w14:textId="648357BB" w:rsidR="00785C32" w:rsidRDefault="00000000">
            <w:pPr>
              <w:tabs>
                <w:tab w:val="left" w:pos="1335"/>
              </w:tabs>
              <w:spacing w:after="0" w:line="240" w:lineRule="auto"/>
              <w:rPr>
                <w:rFonts w:ascii="Arial" w:eastAsia="Arial" w:hAnsi="Arial" w:cs="Arial"/>
              </w:rPr>
            </w:pPr>
            <w:hyperlink r:id="rId8">
              <w:r>
                <w:rPr>
                  <w:rFonts w:ascii="Arial" w:eastAsia="Arial" w:hAnsi="Arial" w:cs="Arial"/>
                  <w:color w:val="0563C1"/>
                  <w:u w:val="single"/>
                </w:rPr>
                <w:t>mbensaid@unfpa.org</w:t>
              </w:r>
            </w:hyperlink>
            <w:r>
              <w:rPr>
                <w:rFonts w:ascii="Arial" w:eastAsia="Arial" w:hAnsi="Arial" w:cs="Arial"/>
              </w:rPr>
              <w:t xml:space="preserve"> </w:t>
            </w:r>
            <w:r w:rsidR="00BC4749">
              <w:rPr>
                <w:rFonts w:ascii="Arial" w:eastAsia="Arial" w:hAnsi="Arial" w:cs="Arial"/>
              </w:rPr>
              <w:t xml:space="preserve">avant le </w:t>
            </w:r>
            <w:r w:rsidR="00C71654">
              <w:rPr>
                <w:rFonts w:ascii="Arial" w:eastAsia="Arial" w:hAnsi="Arial" w:cs="Arial"/>
                <w:b/>
                <w:bCs/>
              </w:rPr>
              <w:t>13</w:t>
            </w:r>
            <w:r w:rsidR="00BC4749" w:rsidRPr="00BC4749">
              <w:rPr>
                <w:rFonts w:ascii="Arial" w:eastAsia="Arial" w:hAnsi="Arial" w:cs="Arial"/>
                <w:b/>
                <w:bCs/>
              </w:rPr>
              <w:t xml:space="preserve"> novembre 2023</w:t>
            </w:r>
          </w:p>
        </w:tc>
      </w:tr>
      <w:tr w:rsidR="00785C32" w14:paraId="29006A3D" w14:textId="77777777">
        <w:trPr>
          <w:trHeight w:val="528"/>
        </w:trPr>
        <w:tc>
          <w:tcPr>
            <w:tcW w:w="10349"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3BC57F50" w14:textId="77777777" w:rsidR="00785C32" w:rsidRDefault="00000000">
            <w:pPr>
              <w:tabs>
                <w:tab w:val="left" w:pos="-720"/>
              </w:tabs>
              <w:spacing w:after="0" w:line="240" w:lineRule="auto"/>
              <w:jc w:val="both"/>
              <w:rPr>
                <w:rFonts w:ascii="Arial" w:eastAsia="Arial" w:hAnsi="Arial" w:cs="Arial"/>
              </w:rPr>
            </w:pPr>
            <w:r>
              <w:rPr>
                <w:rFonts w:ascii="Arial" w:eastAsia="Arial" w:hAnsi="Arial" w:cs="Arial"/>
              </w:rPr>
              <w:t>Signature :  Dr Rym Fayala, Cheffe du Bureau UNFPA</w:t>
            </w:r>
          </w:p>
          <w:p w14:paraId="22B1E6B9" w14:textId="04A8C37D" w:rsidR="00785C32" w:rsidRDefault="00000000">
            <w:pPr>
              <w:tabs>
                <w:tab w:val="left" w:pos="-720"/>
              </w:tabs>
              <w:spacing w:after="0" w:line="240" w:lineRule="auto"/>
              <w:jc w:val="both"/>
              <w:rPr>
                <w:rFonts w:ascii="Arial" w:eastAsia="Arial" w:hAnsi="Arial" w:cs="Arial"/>
              </w:rPr>
            </w:pPr>
            <w:r>
              <w:rPr>
                <w:rFonts w:ascii="Arial" w:eastAsia="Arial" w:hAnsi="Arial" w:cs="Arial"/>
              </w:rPr>
              <w:t xml:space="preserve">Date: </w:t>
            </w:r>
            <w:r w:rsidR="00F577DE">
              <w:rPr>
                <w:rFonts w:ascii="Arial" w:eastAsia="Arial" w:hAnsi="Arial" w:cs="Arial"/>
              </w:rPr>
              <w:t>31/10/2023</w:t>
            </w:r>
          </w:p>
          <w:p w14:paraId="1DED05B3" w14:textId="77777777" w:rsidR="00785C32" w:rsidRDefault="00785C32">
            <w:pPr>
              <w:tabs>
                <w:tab w:val="left" w:pos="-720"/>
              </w:tabs>
              <w:spacing w:after="0" w:line="240" w:lineRule="auto"/>
              <w:jc w:val="both"/>
              <w:rPr>
                <w:rFonts w:ascii="Arial" w:eastAsia="Arial" w:hAnsi="Arial" w:cs="Arial"/>
              </w:rPr>
            </w:pPr>
          </w:p>
        </w:tc>
      </w:tr>
    </w:tbl>
    <w:p w14:paraId="0FF86135" w14:textId="77777777" w:rsidR="00785C32" w:rsidRDefault="00785C32">
      <w:pPr>
        <w:spacing w:after="0" w:line="240" w:lineRule="auto"/>
        <w:jc w:val="both"/>
        <w:rPr>
          <w:rFonts w:ascii="Times New Roman" w:eastAsia="Times New Roman" w:hAnsi="Times New Roman" w:cs="Times New Roman"/>
          <w:sz w:val="16"/>
          <w:szCs w:val="16"/>
        </w:rPr>
      </w:pPr>
    </w:p>
    <w:p w14:paraId="46B5E6D3" w14:textId="77777777" w:rsidR="00785C32" w:rsidRDefault="00785C32">
      <w:pPr>
        <w:spacing w:line="240" w:lineRule="auto"/>
        <w:jc w:val="center"/>
      </w:pPr>
    </w:p>
    <w:sectPr w:rsidR="00785C32">
      <w:headerReference w:type="default" r:id="rId9"/>
      <w:pgSz w:w="11906" w:h="16838"/>
      <w:pgMar w:top="1146" w:right="1152" w:bottom="709" w:left="1152"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CB5B" w14:textId="77777777" w:rsidR="002F0580" w:rsidRDefault="002F0580">
      <w:pPr>
        <w:spacing w:after="0" w:line="240" w:lineRule="auto"/>
      </w:pPr>
      <w:r>
        <w:separator/>
      </w:r>
    </w:p>
  </w:endnote>
  <w:endnote w:type="continuationSeparator" w:id="0">
    <w:p w14:paraId="4607708E" w14:textId="77777777" w:rsidR="002F0580" w:rsidRDefault="002F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CA2F" w14:textId="77777777" w:rsidR="002F0580" w:rsidRDefault="002F0580">
      <w:pPr>
        <w:spacing w:after="0" w:line="240" w:lineRule="auto"/>
      </w:pPr>
      <w:r>
        <w:separator/>
      </w:r>
    </w:p>
  </w:footnote>
  <w:footnote w:type="continuationSeparator" w:id="0">
    <w:p w14:paraId="1E4B2847" w14:textId="77777777" w:rsidR="002F0580" w:rsidRDefault="002F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456" w14:textId="77777777" w:rsidR="00785C32" w:rsidRDefault="00000000">
    <w:pPr>
      <w:pBdr>
        <w:top w:val="nil"/>
        <w:left w:val="nil"/>
        <w:bottom w:val="nil"/>
        <w:right w:val="nil"/>
        <w:between w:val="nil"/>
      </w:pBdr>
      <w:tabs>
        <w:tab w:val="center" w:pos="4703"/>
        <w:tab w:val="right" w:pos="9406"/>
        <w:tab w:val="left" w:pos="708"/>
        <w:tab w:val="left" w:pos="6804"/>
        <w:tab w:val="left" w:pos="7655"/>
      </w:tabs>
      <w:spacing w:after="120" w:line="240" w:lineRule="auto"/>
      <w:rPr>
        <w:color w:val="000000"/>
      </w:rPr>
    </w:pPr>
    <w:r>
      <w:rPr>
        <w:color w:val="000000"/>
      </w:rPr>
      <w:tab/>
    </w:r>
    <w:r>
      <w:rPr>
        <w:color w:val="000000"/>
      </w:rPr>
      <w:tab/>
    </w:r>
    <w:r>
      <w:rPr>
        <w:noProof/>
        <w:color w:val="000000"/>
      </w:rPr>
      <w:drawing>
        <wp:inline distT="0" distB="0" distL="0" distR="0" wp14:anchorId="1C9E62B9" wp14:editId="033E0F14">
          <wp:extent cx="952757" cy="432836"/>
          <wp:effectExtent l="0" t="0" r="0" b="0"/>
          <wp:docPr id="4" name="image1.png" descr="Fichier:UNFPA logo.svg — Wikipédia"/>
          <wp:cNvGraphicFramePr/>
          <a:graphic xmlns:a="http://schemas.openxmlformats.org/drawingml/2006/main">
            <a:graphicData uri="http://schemas.openxmlformats.org/drawingml/2006/picture">
              <pic:pic xmlns:pic="http://schemas.openxmlformats.org/drawingml/2006/picture">
                <pic:nvPicPr>
                  <pic:cNvPr id="0" name="image1.png" descr="Fichier:UNFPA logo.svg — Wikipédia"/>
                  <pic:cNvPicPr preferRelativeResize="0"/>
                </pic:nvPicPr>
                <pic:blipFill>
                  <a:blip r:embed="rId1"/>
                  <a:srcRect/>
                  <a:stretch>
                    <a:fillRect/>
                  </a:stretch>
                </pic:blipFill>
                <pic:spPr>
                  <a:xfrm>
                    <a:off x="0" y="0"/>
                    <a:ext cx="952757" cy="4328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6C"/>
    <w:multiLevelType w:val="hybridMultilevel"/>
    <w:tmpl w:val="03645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6C79E1"/>
    <w:multiLevelType w:val="hybridMultilevel"/>
    <w:tmpl w:val="26E0C8A4"/>
    <w:lvl w:ilvl="0" w:tplc="C902CCD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AD1912"/>
    <w:multiLevelType w:val="multilevel"/>
    <w:tmpl w:val="F4646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7522F2"/>
    <w:multiLevelType w:val="multilevel"/>
    <w:tmpl w:val="9488AD7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460B75"/>
    <w:multiLevelType w:val="multilevel"/>
    <w:tmpl w:val="78C487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5697BC1"/>
    <w:multiLevelType w:val="multilevel"/>
    <w:tmpl w:val="CDA49DD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num w:numId="1" w16cid:durableId="1077090938">
    <w:abstractNumId w:val="2"/>
  </w:num>
  <w:num w:numId="2" w16cid:durableId="1623612247">
    <w:abstractNumId w:val="4"/>
  </w:num>
  <w:num w:numId="3" w16cid:durableId="1082602299">
    <w:abstractNumId w:val="3"/>
  </w:num>
  <w:num w:numId="4" w16cid:durableId="617416386">
    <w:abstractNumId w:val="5"/>
  </w:num>
  <w:num w:numId="5" w16cid:durableId="1261178707">
    <w:abstractNumId w:val="0"/>
  </w:num>
  <w:num w:numId="6" w16cid:durableId="138949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2"/>
    <w:rsid w:val="0000788D"/>
    <w:rsid w:val="001F14D3"/>
    <w:rsid w:val="002A64A8"/>
    <w:rsid w:val="002F0580"/>
    <w:rsid w:val="00386000"/>
    <w:rsid w:val="004944EB"/>
    <w:rsid w:val="004E7E44"/>
    <w:rsid w:val="00785C32"/>
    <w:rsid w:val="00836F80"/>
    <w:rsid w:val="00862D87"/>
    <w:rsid w:val="00AE6442"/>
    <w:rsid w:val="00BC4749"/>
    <w:rsid w:val="00C71654"/>
    <w:rsid w:val="00F577DE"/>
    <w:rsid w:val="00F65F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5308"/>
  <w15:docId w15:val="{4329D4CA-BCA0-4AD2-91DE-027837F4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
    <w:basedOn w:val="Normal"/>
    <w:link w:val="ListParagraphChar"/>
    <w:uiPriority w:val="34"/>
    <w:qFormat/>
    <w:rsid w:val="00ED3ED4"/>
    <w:pPr>
      <w:ind w:left="720"/>
      <w:contextualSpacing/>
    </w:pPr>
  </w:style>
  <w:style w:type="character" w:styleId="Hyperlink">
    <w:name w:val="Hyperlink"/>
    <w:basedOn w:val="DefaultParagraphFont"/>
    <w:uiPriority w:val="99"/>
    <w:unhideWhenUsed/>
    <w:rsid w:val="006D6722"/>
    <w:rPr>
      <w:color w:val="0563C1" w:themeColor="hyperlink"/>
      <w:u w:val="single"/>
    </w:rPr>
  </w:style>
  <w:style w:type="paragraph" w:styleId="BalloonText">
    <w:name w:val="Balloon Text"/>
    <w:basedOn w:val="Normal"/>
    <w:link w:val="BalloonTextChar"/>
    <w:uiPriority w:val="99"/>
    <w:semiHidden/>
    <w:unhideWhenUsed/>
    <w:rsid w:val="00C5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AB"/>
    <w:rPr>
      <w:rFonts w:ascii="Segoe UI" w:hAnsi="Segoe UI" w:cs="Segoe UI"/>
      <w:sz w:val="18"/>
      <w:szCs w:val="18"/>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99"/>
    <w:rsid w:val="00C92B2C"/>
  </w:style>
  <w:style w:type="paragraph" w:customStyle="1" w:styleId="TableParagraph">
    <w:name w:val="Table Paragraph"/>
    <w:basedOn w:val="Normal"/>
    <w:uiPriority w:val="1"/>
    <w:qFormat/>
    <w:rsid w:val="00A25173"/>
    <w:pPr>
      <w:widowControl w:val="0"/>
      <w:autoSpaceDE w:val="0"/>
      <w:autoSpaceDN w:val="0"/>
      <w:spacing w:after="0" w:line="240" w:lineRule="auto"/>
    </w:pPr>
    <w:rPr>
      <w:rFonts w:ascii="Noto Sans" w:eastAsia="Noto Sans" w:hAnsi="Noto Sans" w:cs="Noto Sans"/>
    </w:rPr>
  </w:style>
  <w:style w:type="paragraph" w:styleId="Header">
    <w:name w:val="header"/>
    <w:basedOn w:val="Normal"/>
    <w:link w:val="HeaderChar"/>
    <w:uiPriority w:val="99"/>
    <w:unhideWhenUsed/>
    <w:rsid w:val="00A25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5173"/>
  </w:style>
  <w:style w:type="paragraph" w:styleId="Footer">
    <w:name w:val="footer"/>
    <w:basedOn w:val="Normal"/>
    <w:link w:val="FooterChar"/>
    <w:uiPriority w:val="99"/>
    <w:unhideWhenUsed/>
    <w:rsid w:val="00A25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5173"/>
  </w:style>
  <w:style w:type="character" w:styleId="CommentReference">
    <w:name w:val="annotation reference"/>
    <w:basedOn w:val="DefaultParagraphFont"/>
    <w:uiPriority w:val="99"/>
    <w:semiHidden/>
    <w:unhideWhenUsed/>
    <w:rsid w:val="00D305D8"/>
    <w:rPr>
      <w:sz w:val="16"/>
      <w:szCs w:val="16"/>
    </w:rPr>
  </w:style>
  <w:style w:type="paragraph" w:styleId="CommentText">
    <w:name w:val="annotation text"/>
    <w:basedOn w:val="Normal"/>
    <w:link w:val="CommentTextChar"/>
    <w:uiPriority w:val="99"/>
    <w:unhideWhenUsed/>
    <w:rsid w:val="00D305D8"/>
    <w:pPr>
      <w:spacing w:line="240" w:lineRule="auto"/>
    </w:pPr>
    <w:rPr>
      <w:sz w:val="20"/>
      <w:szCs w:val="20"/>
    </w:rPr>
  </w:style>
  <w:style w:type="character" w:customStyle="1" w:styleId="CommentTextChar">
    <w:name w:val="Comment Text Char"/>
    <w:basedOn w:val="DefaultParagraphFont"/>
    <w:link w:val="CommentText"/>
    <w:uiPriority w:val="99"/>
    <w:rsid w:val="00D305D8"/>
    <w:rPr>
      <w:sz w:val="20"/>
      <w:szCs w:val="20"/>
    </w:rPr>
  </w:style>
  <w:style w:type="paragraph" w:styleId="CommentSubject">
    <w:name w:val="annotation subject"/>
    <w:basedOn w:val="CommentText"/>
    <w:next w:val="CommentText"/>
    <w:link w:val="CommentSubjectChar"/>
    <w:uiPriority w:val="99"/>
    <w:semiHidden/>
    <w:unhideWhenUsed/>
    <w:rsid w:val="00D305D8"/>
    <w:rPr>
      <w:b/>
      <w:bCs/>
    </w:rPr>
  </w:style>
  <w:style w:type="character" w:customStyle="1" w:styleId="CommentSubjectChar">
    <w:name w:val="Comment Subject Char"/>
    <w:basedOn w:val="CommentTextChar"/>
    <w:link w:val="CommentSubject"/>
    <w:uiPriority w:val="99"/>
    <w:semiHidden/>
    <w:rsid w:val="00D305D8"/>
    <w:rPr>
      <w:b/>
      <w:bCs/>
      <w:sz w:val="20"/>
      <w:szCs w:val="20"/>
    </w:rPr>
  </w:style>
  <w:style w:type="paragraph" w:styleId="Revision">
    <w:name w:val="Revision"/>
    <w:hidden/>
    <w:uiPriority w:val="99"/>
    <w:semiHidden/>
    <w:rsid w:val="009A26D0"/>
    <w:pPr>
      <w:spacing w:after="0" w:line="240" w:lineRule="auto"/>
    </w:pPr>
  </w:style>
  <w:style w:type="paragraph" w:styleId="NormalWeb">
    <w:name w:val="Normal (Web)"/>
    <w:basedOn w:val="Normal"/>
    <w:uiPriority w:val="99"/>
    <w:rsid w:val="00673B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odyText">
    <w:name w:val="Body Text"/>
    <w:basedOn w:val="Normal"/>
    <w:link w:val="BodyTextChar"/>
    <w:rsid w:val="005D6786"/>
    <w:pPr>
      <w:widowControl w:val="0"/>
      <w:tabs>
        <w:tab w:val="left" w:pos="-720"/>
        <w:tab w:val="left" w:pos="0"/>
      </w:tabs>
      <w:suppressAutoHyphens/>
      <w:spacing w:after="0" w:line="240" w:lineRule="auto"/>
      <w:jc w:val="both"/>
    </w:pPr>
    <w:rPr>
      <w:rFonts w:ascii="Palatino" w:eastAsia="Times New Roman" w:hAnsi="Palatino" w:cs="Times New Roman"/>
      <w:szCs w:val="20"/>
      <w:lang w:val="en-US"/>
    </w:rPr>
  </w:style>
  <w:style w:type="character" w:customStyle="1" w:styleId="BodyTextChar">
    <w:name w:val="Body Text Char"/>
    <w:basedOn w:val="DefaultParagraphFont"/>
    <w:link w:val="BodyText"/>
    <w:rsid w:val="005D6786"/>
    <w:rPr>
      <w:rFonts w:ascii="Palatino" w:eastAsia="Times New Roman" w:hAnsi="Palatino" w:cs="Times New Roman"/>
      <w:szCs w:val="20"/>
      <w:lang w:val="en-US"/>
    </w:rPr>
  </w:style>
  <w:style w:type="character" w:styleId="UnresolvedMention">
    <w:name w:val="Unresolved Mention"/>
    <w:basedOn w:val="DefaultParagraphFont"/>
    <w:uiPriority w:val="99"/>
    <w:semiHidden/>
    <w:unhideWhenUsed/>
    <w:rsid w:val="00AB16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ensaid@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QB12o1kSF/iyz8XgqqDSIhMPDg==">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4921</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Rihab Blidi</cp:lastModifiedBy>
  <cp:revision>8</cp:revision>
  <dcterms:created xsi:type="dcterms:W3CDTF">2023-10-09T12:24:00Z</dcterms:created>
  <dcterms:modified xsi:type="dcterms:W3CDTF">2023-11-08T07:33:00Z</dcterms:modified>
</cp:coreProperties>
</file>