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8FECE" w14:textId="7C75A169" w:rsidR="00ED3ED4" w:rsidRPr="0092608E" w:rsidRDefault="00ED3ED4" w:rsidP="00C5268C">
      <w:pPr>
        <w:suppressAutoHyphens/>
        <w:spacing w:after="120" w:line="240" w:lineRule="auto"/>
        <w:jc w:val="center"/>
        <w:rPr>
          <w:rFonts w:eastAsia="Times New Roman" w:cstheme="minorHAnsi"/>
          <w:b/>
          <w:sz w:val="28"/>
          <w:szCs w:val="28"/>
        </w:rPr>
      </w:pPr>
      <w:r w:rsidRPr="0092608E">
        <w:rPr>
          <w:rFonts w:eastAsia="Times New Roman" w:cstheme="minorHAnsi"/>
          <w:b/>
          <w:sz w:val="28"/>
          <w:szCs w:val="28"/>
        </w:rPr>
        <w:t>TERMES DE REFERENCE</w:t>
      </w:r>
    </w:p>
    <w:p w14:paraId="09AD8068" w14:textId="597B4C90" w:rsidR="00352F22" w:rsidRPr="0092608E" w:rsidRDefault="00352F22" w:rsidP="00C5268C">
      <w:pPr>
        <w:suppressAutoHyphens/>
        <w:spacing w:after="120" w:line="240" w:lineRule="auto"/>
        <w:jc w:val="center"/>
        <w:rPr>
          <w:rFonts w:eastAsia="Times New Roman" w:cstheme="minorHAnsi"/>
          <w:b/>
          <w:sz w:val="24"/>
          <w:szCs w:val="24"/>
        </w:rPr>
      </w:pPr>
      <w:r w:rsidRPr="0092608E">
        <w:rPr>
          <w:rFonts w:eastAsia="Times New Roman" w:cstheme="minorHAnsi"/>
          <w:b/>
          <w:sz w:val="24"/>
          <w:szCs w:val="24"/>
        </w:rPr>
        <w:t xml:space="preserve">POUR LE RECRUTEMENT D’UN CONSULTANT.E NATIONAL.E </w:t>
      </w:r>
    </w:p>
    <w:p w14:paraId="2F4FB0C1" w14:textId="33A3C7C4" w:rsidR="002C3334" w:rsidRPr="0092608E" w:rsidRDefault="0092608E" w:rsidP="00C5268C">
      <w:pPr>
        <w:suppressAutoHyphens/>
        <w:spacing w:after="120" w:line="240" w:lineRule="auto"/>
        <w:jc w:val="center"/>
        <w:rPr>
          <w:rFonts w:eastAsia="Times New Roman" w:cstheme="minorHAnsi"/>
          <w:b/>
          <w:sz w:val="24"/>
          <w:szCs w:val="24"/>
        </w:rPr>
      </w:pPr>
      <w:r w:rsidRPr="0092608E">
        <w:rPr>
          <w:rFonts w:eastAsia="Times New Roman" w:cstheme="minorHAnsi"/>
          <w:b/>
          <w:sz w:val="24"/>
          <w:szCs w:val="24"/>
        </w:rPr>
        <w:t xml:space="preserve">EXPERT.E EN SANTE PUBLIQUE SENIOR </w:t>
      </w:r>
      <w:r w:rsidR="00352F22" w:rsidRPr="0092608E">
        <w:rPr>
          <w:rFonts w:eastAsia="Times New Roman" w:cstheme="minorHAnsi"/>
          <w:b/>
          <w:sz w:val="24"/>
          <w:szCs w:val="24"/>
        </w:rPr>
        <w:t>CHARGE.E DE L’EVALUATION DU SYSTEME DE SUIVI DES DECES MATERNELS ET RIPOSTE</w:t>
      </w:r>
    </w:p>
    <w:tbl>
      <w:tblPr>
        <w:tblW w:w="9974" w:type="dxa"/>
        <w:tblInd w:w="-216" w:type="dxa"/>
        <w:tblLayout w:type="fixed"/>
        <w:tblCellMar>
          <w:left w:w="177" w:type="dxa"/>
          <w:right w:w="177" w:type="dxa"/>
        </w:tblCellMar>
        <w:tblLook w:val="0000" w:firstRow="0" w:lastRow="0" w:firstColumn="0" w:lastColumn="0" w:noHBand="0" w:noVBand="0"/>
      </w:tblPr>
      <w:tblGrid>
        <w:gridCol w:w="2178"/>
        <w:gridCol w:w="7796"/>
      </w:tblGrid>
      <w:tr w:rsidR="00ED3ED4" w:rsidRPr="0092608E" w14:paraId="26261733" w14:textId="77777777" w:rsidTr="00C5268C">
        <w:trPr>
          <w:trHeight w:val="226"/>
        </w:trPr>
        <w:tc>
          <w:tcPr>
            <w:tcW w:w="9974" w:type="dxa"/>
            <w:gridSpan w:val="2"/>
            <w:tcBorders>
              <w:top w:val="double" w:sz="6" w:space="0" w:color="auto"/>
              <w:left w:val="double" w:sz="6" w:space="0" w:color="auto"/>
              <w:bottom w:val="double" w:sz="6" w:space="0" w:color="auto"/>
              <w:right w:val="double" w:sz="6" w:space="0" w:color="auto"/>
            </w:tcBorders>
            <w:shd w:val="clear" w:color="auto" w:fill="E6E6E6"/>
          </w:tcPr>
          <w:p w14:paraId="48740664" w14:textId="77777777" w:rsidR="00ED3ED4" w:rsidRPr="0092608E" w:rsidRDefault="00ED3ED4" w:rsidP="00C512AB">
            <w:pPr>
              <w:tabs>
                <w:tab w:val="left" w:pos="-720"/>
              </w:tabs>
              <w:suppressAutoHyphens/>
              <w:spacing w:before="109" w:after="54" w:line="240" w:lineRule="auto"/>
              <w:jc w:val="center"/>
              <w:rPr>
                <w:rFonts w:eastAsia="Times New Roman" w:cstheme="minorHAnsi"/>
                <w:b/>
                <w:sz w:val="18"/>
                <w:szCs w:val="18"/>
              </w:rPr>
            </w:pPr>
            <w:r w:rsidRPr="0092608E">
              <w:rPr>
                <w:rFonts w:eastAsia="Times New Roman" w:cstheme="minorHAnsi"/>
                <w:b/>
                <w:sz w:val="18"/>
                <w:szCs w:val="18"/>
              </w:rPr>
              <w:t>TERMES DE REFERENCE</w:t>
            </w:r>
          </w:p>
        </w:tc>
      </w:tr>
      <w:tr w:rsidR="00730330" w:rsidRPr="0092608E" w14:paraId="4780B287" w14:textId="77777777" w:rsidTr="00A25173">
        <w:tblPrEx>
          <w:tblCellMar>
            <w:left w:w="148" w:type="dxa"/>
            <w:right w:w="148" w:type="dxa"/>
          </w:tblCellMar>
        </w:tblPrEx>
        <w:tc>
          <w:tcPr>
            <w:tcW w:w="2178" w:type="dxa"/>
            <w:tcBorders>
              <w:top w:val="single" w:sz="6" w:space="0" w:color="auto"/>
              <w:left w:val="double" w:sz="6" w:space="0" w:color="auto"/>
              <w:bottom w:val="single" w:sz="4" w:space="0" w:color="auto"/>
            </w:tcBorders>
            <w:shd w:val="clear" w:color="auto" w:fill="auto"/>
          </w:tcPr>
          <w:p w14:paraId="1E54D672" w14:textId="72ACBB91" w:rsidR="00730330" w:rsidRPr="0092608E" w:rsidRDefault="003B01C8" w:rsidP="00730330">
            <w:pPr>
              <w:tabs>
                <w:tab w:val="left" w:pos="-720"/>
              </w:tabs>
              <w:suppressAutoHyphens/>
              <w:spacing w:before="40" w:after="54" w:line="240" w:lineRule="auto"/>
              <w:jc w:val="both"/>
              <w:rPr>
                <w:rFonts w:eastAsia="Times New Roman" w:cstheme="minorHAnsi"/>
                <w:b/>
                <w:bCs/>
                <w:i/>
                <w:iCs/>
                <w:sz w:val="24"/>
                <w:szCs w:val="24"/>
              </w:rPr>
            </w:pPr>
            <w:r w:rsidRPr="0092608E">
              <w:rPr>
                <w:rFonts w:cstheme="minorHAnsi"/>
                <w:b/>
                <w:bCs/>
                <w:i/>
                <w:iCs/>
                <w:sz w:val="24"/>
                <w:szCs w:val="24"/>
              </w:rPr>
              <w:t>Structure / organisation</w:t>
            </w:r>
          </w:p>
        </w:tc>
        <w:tc>
          <w:tcPr>
            <w:tcW w:w="7796" w:type="dxa"/>
            <w:tcBorders>
              <w:top w:val="single" w:sz="6" w:space="0" w:color="auto"/>
              <w:left w:val="single" w:sz="6" w:space="0" w:color="auto"/>
              <w:bottom w:val="single" w:sz="4" w:space="0" w:color="auto"/>
              <w:right w:val="double" w:sz="6" w:space="0" w:color="auto"/>
            </w:tcBorders>
            <w:shd w:val="clear" w:color="auto" w:fill="auto"/>
          </w:tcPr>
          <w:p w14:paraId="77A27D3E" w14:textId="77777777" w:rsidR="0092608E" w:rsidRPr="0092608E" w:rsidRDefault="00730330" w:rsidP="0092608E">
            <w:pPr>
              <w:tabs>
                <w:tab w:val="left" w:pos="-720"/>
              </w:tabs>
              <w:suppressAutoHyphens/>
              <w:spacing w:before="40" w:after="54" w:line="240" w:lineRule="auto"/>
              <w:jc w:val="both"/>
              <w:rPr>
                <w:rFonts w:eastAsia="Times New Roman" w:cstheme="minorHAnsi"/>
              </w:rPr>
            </w:pPr>
            <w:r w:rsidRPr="0092608E">
              <w:rPr>
                <w:rFonts w:eastAsia="Times New Roman" w:cstheme="minorHAnsi"/>
              </w:rPr>
              <w:t>Fonds des Nations Unies pour la Population (UNFPA) - Bureau Tunisie</w:t>
            </w:r>
            <w:r w:rsidR="0092608E" w:rsidRPr="0092608E">
              <w:rPr>
                <w:rFonts w:eastAsia="Times New Roman" w:cstheme="minorHAnsi"/>
              </w:rPr>
              <w:t xml:space="preserve"> </w:t>
            </w:r>
          </w:p>
          <w:p w14:paraId="01557BF2" w14:textId="7D76E046" w:rsidR="00730330" w:rsidRPr="0092608E" w:rsidRDefault="0092608E" w:rsidP="0092608E">
            <w:pPr>
              <w:tabs>
                <w:tab w:val="left" w:pos="-720"/>
              </w:tabs>
              <w:suppressAutoHyphens/>
              <w:spacing w:before="40" w:after="54" w:line="240" w:lineRule="auto"/>
              <w:jc w:val="both"/>
              <w:rPr>
                <w:rFonts w:eastAsia="Times New Roman" w:cstheme="minorHAnsi"/>
              </w:rPr>
            </w:pPr>
            <w:r w:rsidRPr="0092608E">
              <w:rPr>
                <w:rFonts w:eastAsia="Times New Roman" w:cstheme="minorHAnsi"/>
              </w:rPr>
              <w:t xml:space="preserve">&amp; Ministère de la Santé Tunisie </w:t>
            </w:r>
          </w:p>
        </w:tc>
      </w:tr>
      <w:tr w:rsidR="00730330" w:rsidRPr="0092608E" w14:paraId="3BABF563" w14:textId="77777777" w:rsidTr="00A25173">
        <w:tblPrEx>
          <w:tblCellMar>
            <w:left w:w="148" w:type="dxa"/>
            <w:right w:w="148" w:type="dxa"/>
          </w:tblCellMar>
        </w:tblPrEx>
        <w:tc>
          <w:tcPr>
            <w:tcW w:w="2178" w:type="dxa"/>
            <w:tcBorders>
              <w:top w:val="single" w:sz="6" w:space="0" w:color="auto"/>
              <w:left w:val="double" w:sz="6" w:space="0" w:color="auto"/>
              <w:bottom w:val="single" w:sz="6" w:space="0" w:color="auto"/>
            </w:tcBorders>
            <w:shd w:val="clear" w:color="auto" w:fill="auto"/>
          </w:tcPr>
          <w:p w14:paraId="2F4DC70D" w14:textId="31070B23" w:rsidR="00730330" w:rsidRPr="0092608E" w:rsidRDefault="003B01C8" w:rsidP="00730330">
            <w:pPr>
              <w:tabs>
                <w:tab w:val="left" w:pos="-720"/>
              </w:tabs>
              <w:suppressAutoHyphens/>
              <w:spacing w:before="40" w:after="54" w:line="240" w:lineRule="auto"/>
              <w:jc w:val="both"/>
              <w:rPr>
                <w:rFonts w:eastAsia="Times New Roman" w:cstheme="minorHAnsi"/>
                <w:b/>
                <w:bCs/>
                <w:i/>
                <w:iCs/>
                <w:sz w:val="24"/>
                <w:szCs w:val="24"/>
              </w:rPr>
            </w:pPr>
            <w:r w:rsidRPr="0092608E">
              <w:rPr>
                <w:rFonts w:cstheme="minorHAnsi"/>
                <w:b/>
                <w:bCs/>
                <w:i/>
                <w:iCs/>
                <w:sz w:val="24"/>
                <w:szCs w:val="24"/>
              </w:rPr>
              <w:t>Sujet de la consultation et contexte</w:t>
            </w:r>
          </w:p>
        </w:tc>
        <w:tc>
          <w:tcPr>
            <w:tcW w:w="7796" w:type="dxa"/>
            <w:tcBorders>
              <w:top w:val="single" w:sz="6" w:space="0" w:color="auto"/>
              <w:left w:val="single" w:sz="6" w:space="0" w:color="auto"/>
              <w:bottom w:val="single" w:sz="6" w:space="0" w:color="auto"/>
              <w:right w:val="double" w:sz="6" w:space="0" w:color="auto"/>
            </w:tcBorders>
            <w:shd w:val="clear" w:color="auto" w:fill="auto"/>
          </w:tcPr>
          <w:p w14:paraId="7C387CDD" w14:textId="481C04DF" w:rsidR="007A0221" w:rsidRPr="0092608E" w:rsidRDefault="00352F22" w:rsidP="00C5268C">
            <w:pPr>
              <w:tabs>
                <w:tab w:val="left" w:pos="-720"/>
              </w:tabs>
              <w:suppressAutoHyphens/>
              <w:spacing w:before="40" w:after="120" w:line="240" w:lineRule="auto"/>
              <w:jc w:val="both"/>
              <w:rPr>
                <w:rFonts w:eastAsia="Times New Roman" w:cstheme="minorHAnsi"/>
                <w:bCs/>
              </w:rPr>
            </w:pPr>
            <w:r w:rsidRPr="0092608E">
              <w:rPr>
                <w:rFonts w:eastAsia="Times New Roman" w:cstheme="minorHAnsi"/>
                <w:bCs/>
              </w:rPr>
              <w:t xml:space="preserve">Dans le cadre du partenariat entre l’UNFPA Tunisie et le Ministère de la Santé, il est prévu de recruter </w:t>
            </w:r>
            <w:proofErr w:type="spellStart"/>
            <w:proofErr w:type="gramStart"/>
            <w:r w:rsidRPr="0092608E">
              <w:rPr>
                <w:rFonts w:eastAsia="Times New Roman" w:cstheme="minorHAnsi"/>
                <w:b/>
              </w:rPr>
              <w:t>un.e</w:t>
            </w:r>
            <w:proofErr w:type="spellEnd"/>
            <w:proofErr w:type="gramEnd"/>
            <w:r w:rsidRPr="0092608E">
              <w:rPr>
                <w:rFonts w:eastAsia="Times New Roman" w:cstheme="minorHAnsi"/>
                <w:b/>
              </w:rPr>
              <w:t xml:space="preserve"> </w:t>
            </w:r>
            <w:proofErr w:type="spellStart"/>
            <w:r w:rsidR="007E508C" w:rsidRPr="0092608E">
              <w:rPr>
                <w:rFonts w:eastAsia="Times New Roman" w:cstheme="minorHAnsi"/>
                <w:b/>
              </w:rPr>
              <w:t>expert.e</w:t>
            </w:r>
            <w:proofErr w:type="spellEnd"/>
            <w:r w:rsidRPr="0092608E">
              <w:rPr>
                <w:rFonts w:eastAsia="Times New Roman" w:cstheme="minorHAnsi"/>
                <w:b/>
              </w:rPr>
              <w:t xml:space="preserve"> </w:t>
            </w:r>
            <w:proofErr w:type="spellStart"/>
            <w:r w:rsidRPr="0092608E">
              <w:rPr>
                <w:rFonts w:eastAsia="Times New Roman" w:cstheme="minorHAnsi"/>
                <w:b/>
              </w:rPr>
              <w:t>national</w:t>
            </w:r>
            <w:r w:rsidR="007E508C" w:rsidRPr="0092608E">
              <w:rPr>
                <w:rFonts w:eastAsia="Times New Roman" w:cstheme="minorHAnsi"/>
                <w:b/>
              </w:rPr>
              <w:t>.e</w:t>
            </w:r>
            <w:proofErr w:type="spellEnd"/>
            <w:r w:rsidR="0092608E" w:rsidRPr="0092608E">
              <w:rPr>
                <w:rFonts w:eastAsia="Times New Roman" w:cstheme="minorHAnsi"/>
                <w:b/>
              </w:rPr>
              <w:t xml:space="preserve"> en santé publique</w:t>
            </w:r>
            <w:r w:rsidRPr="0092608E">
              <w:rPr>
                <w:rFonts w:eastAsia="Times New Roman" w:cstheme="minorHAnsi"/>
                <w:b/>
              </w:rPr>
              <w:t xml:space="preserve"> </w:t>
            </w:r>
            <w:r w:rsidR="007E508C" w:rsidRPr="0092608E">
              <w:rPr>
                <w:rFonts w:eastAsia="Times New Roman" w:cstheme="minorHAnsi"/>
                <w:b/>
              </w:rPr>
              <w:t xml:space="preserve">senior </w:t>
            </w:r>
            <w:r w:rsidR="0092608E" w:rsidRPr="0092608E">
              <w:rPr>
                <w:rFonts w:eastAsia="Times New Roman" w:cstheme="minorHAnsi"/>
                <w:b/>
              </w:rPr>
              <w:t xml:space="preserve">pour préparer et diriger </w:t>
            </w:r>
            <w:r w:rsidR="007E508C" w:rsidRPr="0092608E">
              <w:rPr>
                <w:rFonts w:eastAsia="Times New Roman" w:cstheme="minorHAnsi"/>
                <w:b/>
              </w:rPr>
              <w:t xml:space="preserve">l’évaluation </w:t>
            </w:r>
            <w:r w:rsidR="0092608E" w:rsidRPr="0092608E">
              <w:rPr>
                <w:rFonts w:eastAsia="Times New Roman" w:cstheme="minorHAnsi"/>
                <w:b/>
              </w:rPr>
              <w:t xml:space="preserve">nationale </w:t>
            </w:r>
            <w:r w:rsidR="007E508C" w:rsidRPr="0092608E">
              <w:rPr>
                <w:rFonts w:eastAsia="Times New Roman" w:cstheme="minorHAnsi"/>
                <w:b/>
              </w:rPr>
              <w:t>du système de suivi</w:t>
            </w:r>
            <w:r w:rsidR="0092608E" w:rsidRPr="0092608E">
              <w:rPr>
                <w:rFonts w:eastAsia="Times New Roman" w:cstheme="minorHAnsi"/>
                <w:b/>
              </w:rPr>
              <w:t xml:space="preserve"> des décès maternels et riposte (SSDMR).</w:t>
            </w:r>
            <w:r w:rsidR="0092608E" w:rsidRPr="0092608E">
              <w:rPr>
                <w:rFonts w:eastAsia="Times New Roman" w:cstheme="minorHAnsi"/>
                <w:bCs/>
              </w:rPr>
              <w:t xml:space="preserve"> </w:t>
            </w:r>
          </w:p>
          <w:p w14:paraId="6895AB45" w14:textId="77777777" w:rsidR="00C5268C" w:rsidRDefault="00C5268C" w:rsidP="00C5268C">
            <w:pPr>
              <w:tabs>
                <w:tab w:val="left" w:pos="-720"/>
              </w:tabs>
              <w:suppressAutoHyphens/>
              <w:spacing w:before="40" w:after="120" w:line="240" w:lineRule="auto"/>
              <w:jc w:val="both"/>
              <w:rPr>
                <w:rFonts w:eastAsia="Times New Roman" w:cstheme="minorHAnsi"/>
                <w:bCs/>
              </w:rPr>
            </w:pPr>
          </w:p>
          <w:p w14:paraId="2AB84224" w14:textId="18B4BBCF" w:rsidR="00352F22" w:rsidRPr="0092608E" w:rsidRDefault="00352F22" w:rsidP="00C5268C">
            <w:pPr>
              <w:tabs>
                <w:tab w:val="left" w:pos="-720"/>
              </w:tabs>
              <w:suppressAutoHyphens/>
              <w:spacing w:before="40" w:after="120" w:line="240" w:lineRule="auto"/>
              <w:jc w:val="both"/>
              <w:rPr>
                <w:rFonts w:eastAsia="Times New Roman" w:cstheme="minorHAnsi"/>
                <w:b/>
              </w:rPr>
            </w:pPr>
            <w:r w:rsidRPr="0092608E">
              <w:rPr>
                <w:rFonts w:eastAsia="Times New Roman" w:cstheme="minorHAnsi"/>
                <w:b/>
              </w:rPr>
              <w:t>CONTEXTE </w:t>
            </w:r>
            <w:r w:rsidR="0092608E" w:rsidRPr="0092608E">
              <w:rPr>
                <w:rFonts w:eastAsia="Times New Roman" w:cstheme="minorHAnsi"/>
                <w:b/>
              </w:rPr>
              <w:t xml:space="preserve">GENERAL </w:t>
            </w:r>
            <w:r w:rsidRPr="0092608E">
              <w:rPr>
                <w:rFonts w:eastAsia="Times New Roman" w:cstheme="minorHAnsi"/>
                <w:b/>
              </w:rPr>
              <w:t xml:space="preserve">: </w:t>
            </w:r>
          </w:p>
          <w:p w14:paraId="432772C6" w14:textId="77777777" w:rsidR="00352F22" w:rsidRPr="0092608E" w:rsidRDefault="00352F22" w:rsidP="00C5268C">
            <w:pPr>
              <w:tabs>
                <w:tab w:val="left" w:pos="-720"/>
              </w:tabs>
              <w:suppressAutoHyphens/>
              <w:spacing w:before="40" w:after="120" w:line="240" w:lineRule="auto"/>
              <w:jc w:val="both"/>
              <w:rPr>
                <w:rFonts w:eastAsia="Times New Roman" w:cstheme="minorHAnsi"/>
              </w:rPr>
            </w:pPr>
            <w:r w:rsidRPr="0092608E">
              <w:rPr>
                <w:rFonts w:eastAsia="Times New Roman" w:cstheme="minorHAnsi"/>
              </w:rPr>
              <w:t>Si les recherches ont révélé qu’environ 80% des décès maternels pourraient être évités dans le monde si les femmes avaient accès à des services de santé primaires ou obstétricaux essentiels, la mortalité maternelle continue d’être un problème de santé publique mondial majeur.</w:t>
            </w:r>
          </w:p>
          <w:p w14:paraId="0BE3378C" w14:textId="1B34091B" w:rsidR="00352F22" w:rsidRPr="0092608E" w:rsidRDefault="00D55D01" w:rsidP="00C5268C">
            <w:pPr>
              <w:tabs>
                <w:tab w:val="left" w:pos="-720"/>
              </w:tabs>
              <w:suppressAutoHyphens/>
              <w:spacing w:before="40" w:after="120" w:line="240" w:lineRule="auto"/>
              <w:jc w:val="both"/>
              <w:rPr>
                <w:rFonts w:eastAsia="Times New Roman" w:cstheme="minorHAnsi"/>
                <w:bCs/>
              </w:rPr>
            </w:pPr>
            <w:r w:rsidRPr="0092608E">
              <w:rPr>
                <w:rFonts w:eastAsia="Times New Roman" w:cstheme="minorHAnsi"/>
                <w:bCs/>
              </w:rPr>
              <w:t>En vue de pallier à cet évènement tragique et évitable, l’élimination de la mortalité et de la morbidité maternelles évitables à l’horizon 2030</w:t>
            </w:r>
            <w:r w:rsidR="0092608E">
              <w:rPr>
                <w:rFonts w:eastAsia="Times New Roman" w:cstheme="minorHAnsi"/>
                <w:bCs/>
              </w:rPr>
              <w:t xml:space="preserve"> a été fixé comme objectif ambitieux par les Nations Unies,</w:t>
            </w:r>
            <w:r w:rsidRPr="0092608E">
              <w:rPr>
                <w:rFonts w:eastAsia="Times New Roman" w:cstheme="minorHAnsi"/>
                <w:bCs/>
              </w:rPr>
              <w:t xml:space="preserve"> </w:t>
            </w:r>
            <w:r w:rsidR="0092608E">
              <w:rPr>
                <w:rFonts w:eastAsia="Times New Roman" w:cstheme="minorHAnsi"/>
                <w:bCs/>
              </w:rPr>
              <w:t>et ce via</w:t>
            </w:r>
            <w:r w:rsidRPr="0092608E">
              <w:rPr>
                <w:rFonts w:eastAsia="Times New Roman" w:cstheme="minorHAnsi"/>
                <w:bCs/>
              </w:rPr>
              <w:t xml:space="preserve"> l’accès universel à la planification familiale et aux accouchements assistés par du personnel qualifié, ainsi que par l’accès à des soins obstétricaux d’urgence de base et complets. Une composante essentielle de cet objectif est le SSDMR </w:t>
            </w:r>
            <w:r w:rsidR="0092608E">
              <w:rPr>
                <w:rFonts w:eastAsia="Times New Roman" w:cstheme="minorHAnsi"/>
                <w:bCs/>
              </w:rPr>
              <w:t xml:space="preserve">qui en </w:t>
            </w:r>
            <w:r w:rsidRPr="0092608E">
              <w:rPr>
                <w:rFonts w:eastAsia="Times New Roman" w:cstheme="minorHAnsi"/>
                <w:bCs/>
              </w:rPr>
              <w:t>fournissant des informations pour contrôler le nombre de décès maternels, comprendre les facteurs sous-jacents, et orienter les actions correctives,</w:t>
            </w:r>
            <w:r w:rsidR="0092608E">
              <w:rPr>
                <w:rFonts w:eastAsia="Times New Roman" w:cstheme="minorHAnsi"/>
                <w:bCs/>
              </w:rPr>
              <w:t xml:space="preserve"> représente</w:t>
            </w:r>
            <w:r w:rsidR="0092608E" w:rsidRPr="0092608E">
              <w:rPr>
                <w:rFonts w:eastAsia="Times New Roman" w:cstheme="minorHAnsi"/>
                <w:bCs/>
              </w:rPr>
              <w:t xml:space="preserve"> un pilier de la stratégie d’élimination</w:t>
            </w:r>
            <w:r w:rsidRPr="0092608E">
              <w:rPr>
                <w:rFonts w:eastAsia="Times New Roman" w:cstheme="minorHAnsi"/>
                <w:bCs/>
              </w:rPr>
              <w:t>.</w:t>
            </w:r>
          </w:p>
          <w:p w14:paraId="6D49E3F1" w14:textId="200DE830" w:rsidR="00D55D01" w:rsidRPr="0092608E" w:rsidRDefault="00D55D01" w:rsidP="00C5268C">
            <w:pPr>
              <w:tabs>
                <w:tab w:val="left" w:pos="-720"/>
              </w:tabs>
              <w:suppressAutoHyphens/>
              <w:spacing w:before="40" w:after="120" w:line="240" w:lineRule="auto"/>
              <w:jc w:val="both"/>
              <w:rPr>
                <w:rFonts w:eastAsia="Times New Roman" w:cstheme="minorHAnsi"/>
                <w:bCs/>
              </w:rPr>
            </w:pPr>
            <w:r w:rsidRPr="0092608E">
              <w:rPr>
                <w:rFonts w:eastAsia="Times New Roman" w:cstheme="minorHAnsi"/>
                <w:bCs/>
              </w:rPr>
              <w:t xml:space="preserve">En ce qui concerne la Tunisie, le pays a fait durant les dernières décennies des progrès significatifs dans la réduction des décès maternels, avec une baisse </w:t>
            </w:r>
            <w:r w:rsidR="0092608E">
              <w:rPr>
                <w:rFonts w:eastAsia="Times New Roman" w:cstheme="minorHAnsi"/>
                <w:bCs/>
              </w:rPr>
              <w:t xml:space="preserve">conséquente </w:t>
            </w:r>
            <w:r w:rsidRPr="0092608E">
              <w:rPr>
                <w:rFonts w:eastAsia="Times New Roman" w:cstheme="minorHAnsi"/>
                <w:bCs/>
              </w:rPr>
              <w:t xml:space="preserve">du taux de la mortalité maternelle </w:t>
            </w:r>
            <w:r w:rsidR="0092608E">
              <w:rPr>
                <w:rFonts w:eastAsia="Times New Roman" w:cstheme="minorHAnsi"/>
                <w:bCs/>
              </w:rPr>
              <w:t>(TMM) à environ</w:t>
            </w:r>
            <w:r w:rsidRPr="0092608E">
              <w:rPr>
                <w:rFonts w:eastAsia="Times New Roman" w:cstheme="minorHAnsi"/>
                <w:bCs/>
              </w:rPr>
              <w:t xml:space="preserve"> 37/100 000 NV en 2020. Toutefois, en dépit des progrès enregistrés, le pays continue de faire face à plusieurs défis par rapport aux efforts qui devraient être consentis et des objectifs assignés, et accuse un retard dans l’atteinte des indicateurs visés.</w:t>
            </w:r>
          </w:p>
          <w:p w14:paraId="458374EB" w14:textId="420621B6" w:rsidR="00D55D01" w:rsidRPr="0092608E" w:rsidRDefault="00D55D01" w:rsidP="00C5268C">
            <w:pPr>
              <w:tabs>
                <w:tab w:val="left" w:pos="-720"/>
              </w:tabs>
              <w:suppressAutoHyphens/>
              <w:spacing w:before="40" w:after="120" w:line="240" w:lineRule="auto"/>
              <w:jc w:val="both"/>
              <w:rPr>
                <w:rFonts w:eastAsia="Times New Roman" w:cstheme="minorHAnsi"/>
                <w:bCs/>
              </w:rPr>
            </w:pPr>
            <w:r w:rsidRPr="0092608E">
              <w:rPr>
                <w:rFonts w:eastAsia="Times New Roman" w:cstheme="minorHAnsi"/>
                <w:bCs/>
              </w:rPr>
              <w:t xml:space="preserve">En vue d’accélérer les efforts du pays, une stratégie nationale de Santé Maternelle et Néonatale (SMNN) en Tunisie a été élaborée pour la période 2020-2024 </w:t>
            </w:r>
            <w:r w:rsidR="0092608E">
              <w:rPr>
                <w:rFonts w:eastAsia="Times New Roman" w:cstheme="minorHAnsi"/>
                <w:bCs/>
              </w:rPr>
              <w:t>et vise</w:t>
            </w:r>
            <w:r w:rsidRPr="0092608E">
              <w:rPr>
                <w:rFonts w:eastAsia="Times New Roman" w:cstheme="minorHAnsi"/>
                <w:bCs/>
              </w:rPr>
              <w:t xml:space="preserve"> à atteindre </w:t>
            </w:r>
            <w:r w:rsidR="0092608E">
              <w:rPr>
                <w:rFonts w:eastAsia="Times New Roman" w:cstheme="minorHAnsi"/>
                <w:bCs/>
              </w:rPr>
              <w:t>un TMM &lt;</w:t>
            </w:r>
            <w:r w:rsidRPr="0092608E">
              <w:rPr>
                <w:rFonts w:eastAsia="Times New Roman" w:cstheme="minorHAnsi"/>
                <w:bCs/>
              </w:rPr>
              <w:t xml:space="preserve">21,8/100 000 </w:t>
            </w:r>
            <w:r w:rsidR="0092608E">
              <w:rPr>
                <w:rFonts w:eastAsia="Times New Roman" w:cstheme="minorHAnsi"/>
                <w:bCs/>
              </w:rPr>
              <w:t xml:space="preserve">NV </w:t>
            </w:r>
            <w:r w:rsidRPr="0092608E">
              <w:rPr>
                <w:rFonts w:eastAsia="Times New Roman" w:cstheme="minorHAnsi"/>
                <w:bCs/>
              </w:rPr>
              <w:t>en 2024</w:t>
            </w:r>
            <w:r w:rsidR="0092608E">
              <w:rPr>
                <w:rFonts w:eastAsia="Times New Roman" w:cstheme="minorHAnsi"/>
                <w:bCs/>
              </w:rPr>
              <w:t>. Pour ce faire,</w:t>
            </w:r>
            <w:r w:rsidRPr="0092608E">
              <w:rPr>
                <w:rFonts w:eastAsia="Times New Roman" w:cstheme="minorHAnsi"/>
                <w:bCs/>
              </w:rPr>
              <w:t xml:space="preserve"> cinq objectifs stratégiques</w:t>
            </w:r>
            <w:r w:rsidR="0092608E">
              <w:rPr>
                <w:rFonts w:eastAsia="Times New Roman" w:cstheme="minorHAnsi"/>
                <w:bCs/>
              </w:rPr>
              <w:t xml:space="preserve"> sont prévus</w:t>
            </w:r>
            <w:r w:rsidRPr="0092608E">
              <w:rPr>
                <w:rFonts w:eastAsia="Times New Roman" w:cstheme="minorHAnsi"/>
                <w:bCs/>
              </w:rPr>
              <w:t>, dont un axe spécifique relatif à l’amélioration des mécanismes de collecte de données, de suivi et d’évaluation de la mise en œuvre de la stratégie nationale de SMNN, et des services afférents, notamment en renforçant le SSDMR national.</w:t>
            </w:r>
          </w:p>
          <w:p w14:paraId="620562AD" w14:textId="77777777" w:rsidR="00D55D01" w:rsidRPr="0092608E" w:rsidRDefault="00D55D01" w:rsidP="00C5268C">
            <w:pPr>
              <w:tabs>
                <w:tab w:val="left" w:pos="-720"/>
              </w:tabs>
              <w:suppressAutoHyphens/>
              <w:spacing w:before="40" w:after="120" w:line="240" w:lineRule="auto"/>
              <w:jc w:val="both"/>
              <w:rPr>
                <w:rFonts w:eastAsia="Times New Roman" w:cstheme="minorHAnsi"/>
                <w:bCs/>
              </w:rPr>
            </w:pPr>
            <w:r w:rsidRPr="0092608E">
              <w:rPr>
                <w:rFonts w:eastAsia="Times New Roman" w:cstheme="minorHAnsi"/>
                <w:bCs/>
              </w:rPr>
              <w:t xml:space="preserve">Ainsi, le SSDMR en Tunisie se veut, en alignement avec les recommandations internationales, une forme de surveillance continue qui établit une passerelle entre le système d’information sanitaire et les processus d’amélioration de la qualité des services et soins de santé au niveau local, régional et national. Il fournirait des informations capitales pour diagnostiquer et évaluer la performance du système de santé, guider stratégiquement les décisions de santé publique, immédiates comme à long terme, pour éliminer la mortalité maternelle évitable et mesurer l’impact des décisions et actions destinées à la réduire. </w:t>
            </w:r>
          </w:p>
          <w:p w14:paraId="285859F8" w14:textId="25BAA4DA" w:rsidR="0092608E" w:rsidRPr="0092608E" w:rsidRDefault="00D55D01" w:rsidP="00636A31">
            <w:pPr>
              <w:tabs>
                <w:tab w:val="left" w:pos="-720"/>
              </w:tabs>
              <w:suppressAutoHyphens/>
              <w:spacing w:before="40" w:after="120" w:line="240" w:lineRule="auto"/>
              <w:jc w:val="both"/>
              <w:rPr>
                <w:rFonts w:eastAsia="Times New Roman" w:cstheme="minorHAnsi"/>
                <w:bCs/>
              </w:rPr>
            </w:pPr>
            <w:r w:rsidRPr="0092608E">
              <w:rPr>
                <w:rFonts w:eastAsia="Times New Roman" w:cstheme="minorHAnsi"/>
                <w:bCs/>
              </w:rPr>
              <w:lastRenderedPageBreak/>
              <w:t xml:space="preserve">Cependant, dans sa configuration et fonctionnement actuels, le SSDMR en Tunisie rencontre des barrières structurelles et difficultés opérationnelles à plusieurs niveaux d’intervention qui limitent sa pertinence et sa capacité à répondre efficacement à ses objectifs primaires de veille et de riposte. </w:t>
            </w:r>
            <w:r w:rsidR="00C5268C" w:rsidRPr="00C5268C">
              <w:rPr>
                <w:rFonts w:eastAsia="Times New Roman" w:cstheme="minorHAnsi"/>
                <w:bCs/>
              </w:rPr>
              <w:t xml:space="preserve">Parmi les </w:t>
            </w:r>
            <w:r w:rsidR="00636A31">
              <w:rPr>
                <w:rFonts w:eastAsia="Times New Roman" w:cstheme="minorHAnsi"/>
                <w:bCs/>
              </w:rPr>
              <w:t>principaux challenges rapportés :</w:t>
            </w:r>
            <w:r w:rsidR="00C5268C" w:rsidRPr="00C5268C">
              <w:rPr>
                <w:rFonts w:eastAsia="Times New Roman" w:cstheme="minorHAnsi"/>
                <w:bCs/>
              </w:rPr>
              <w:t xml:space="preserve"> (i) un taux de notification </w:t>
            </w:r>
            <w:r w:rsidR="00C5268C">
              <w:rPr>
                <w:rFonts w:eastAsia="Times New Roman" w:cstheme="minorHAnsi"/>
                <w:bCs/>
              </w:rPr>
              <w:t>des décès maternels sous-estimé,</w:t>
            </w:r>
            <w:r w:rsidR="00C5268C" w:rsidRPr="00C5268C">
              <w:rPr>
                <w:rFonts w:eastAsia="Times New Roman" w:cstheme="minorHAnsi"/>
                <w:bCs/>
              </w:rPr>
              <w:t xml:space="preserve"> (ii) une qualité </w:t>
            </w:r>
            <w:r w:rsidR="00C5268C">
              <w:rPr>
                <w:rFonts w:eastAsia="Times New Roman" w:cstheme="minorHAnsi"/>
                <w:bCs/>
              </w:rPr>
              <w:t>variable dans les</w:t>
            </w:r>
            <w:r w:rsidR="00C5268C" w:rsidRPr="00C5268C">
              <w:rPr>
                <w:rFonts w:eastAsia="Times New Roman" w:cstheme="minorHAnsi"/>
                <w:bCs/>
              </w:rPr>
              <w:t xml:space="preserve"> données recueillies, avec l’absence d’utilisation d’un dossier médical informatisé et systématisé à tous les niveaux de soins, (iii) un axe riposte limité avec faible prise en compte et concrétisation des recommandations émises, et (iv) l’absence d’un plan d’exécution du SSDMR définissant le mode de fonctionnement et les liens et la collaboration entre les différents </w:t>
            </w:r>
            <w:r w:rsidR="00C5268C">
              <w:rPr>
                <w:rFonts w:eastAsia="Times New Roman" w:cstheme="minorHAnsi"/>
                <w:bCs/>
              </w:rPr>
              <w:t>intervenants</w:t>
            </w:r>
            <w:r w:rsidR="00C5268C" w:rsidRPr="00C5268C">
              <w:rPr>
                <w:rFonts w:eastAsia="Times New Roman" w:cstheme="minorHAnsi"/>
                <w:bCs/>
              </w:rPr>
              <w:t xml:space="preserve">, manifesté entre autre par la faible coordination et l’absence d’intégration des données du SSDMR avec les </w:t>
            </w:r>
            <w:r w:rsidR="00636A31">
              <w:rPr>
                <w:rFonts w:eastAsia="Times New Roman" w:cstheme="minorHAnsi"/>
                <w:bCs/>
              </w:rPr>
              <w:t xml:space="preserve">autres </w:t>
            </w:r>
            <w:r w:rsidR="00C5268C" w:rsidRPr="00C5268C">
              <w:rPr>
                <w:rFonts w:eastAsia="Times New Roman" w:cstheme="minorHAnsi"/>
                <w:bCs/>
              </w:rPr>
              <w:t xml:space="preserve">systèmes d’information </w:t>
            </w:r>
            <w:r w:rsidR="00636A31">
              <w:rPr>
                <w:rFonts w:eastAsia="Times New Roman" w:cstheme="minorHAnsi"/>
                <w:bCs/>
              </w:rPr>
              <w:t xml:space="preserve">sanitaires </w:t>
            </w:r>
            <w:r w:rsidR="00C5268C" w:rsidRPr="00C5268C">
              <w:rPr>
                <w:rFonts w:eastAsia="Times New Roman" w:cstheme="minorHAnsi"/>
                <w:bCs/>
              </w:rPr>
              <w:t xml:space="preserve">dont le Système d’Information des Causes de Décès (SICD) lié à l’Etat Civil.  </w:t>
            </w:r>
          </w:p>
          <w:p w14:paraId="4DA8CAE5" w14:textId="57E9D76F" w:rsidR="0092608E" w:rsidRDefault="00C5268C" w:rsidP="00636A31">
            <w:pPr>
              <w:tabs>
                <w:tab w:val="left" w:pos="-720"/>
              </w:tabs>
              <w:suppressAutoHyphens/>
              <w:spacing w:before="40" w:after="120" w:line="240" w:lineRule="auto"/>
              <w:jc w:val="both"/>
              <w:rPr>
                <w:rFonts w:eastAsia="Times New Roman" w:cstheme="minorHAnsi"/>
                <w:bCs/>
              </w:rPr>
            </w:pPr>
            <w:r>
              <w:rPr>
                <w:rFonts w:eastAsia="Times New Roman" w:cstheme="minorHAnsi"/>
                <w:bCs/>
              </w:rPr>
              <w:t>En vue de pallier à ces limites,</w:t>
            </w:r>
            <w:r w:rsidR="00636A31">
              <w:rPr>
                <w:rFonts w:eastAsia="Times New Roman" w:cstheme="minorHAnsi"/>
                <w:bCs/>
              </w:rPr>
              <w:t xml:space="preserve"> et d’accélérer</w:t>
            </w:r>
            <w:r w:rsidR="00636A31">
              <w:t xml:space="preserve"> </w:t>
            </w:r>
            <w:r w:rsidR="00636A31">
              <w:rPr>
                <w:rFonts w:eastAsia="Times New Roman" w:cstheme="minorHAnsi"/>
                <w:bCs/>
              </w:rPr>
              <w:t>les efforts</w:t>
            </w:r>
            <w:r w:rsidR="00636A31" w:rsidRPr="0092608E">
              <w:rPr>
                <w:rFonts w:eastAsia="Times New Roman" w:cstheme="minorHAnsi"/>
                <w:bCs/>
              </w:rPr>
              <w:t xml:space="preserve"> </w:t>
            </w:r>
            <w:r w:rsidR="00636A31">
              <w:rPr>
                <w:rFonts w:eastAsia="Times New Roman" w:cstheme="minorHAnsi"/>
                <w:bCs/>
              </w:rPr>
              <w:t xml:space="preserve">pour </w:t>
            </w:r>
            <w:r w:rsidR="00636A31" w:rsidRPr="00636A31">
              <w:rPr>
                <w:rFonts w:eastAsia="Times New Roman" w:cstheme="minorHAnsi"/>
                <w:bCs/>
              </w:rPr>
              <w:t>l’élimination de la mortalité et de la morbidité maternelles évitables à l’horizon 2030</w:t>
            </w:r>
            <w:r w:rsidR="00636A31">
              <w:rPr>
                <w:rFonts w:eastAsia="Times New Roman" w:cstheme="minorHAnsi"/>
                <w:bCs/>
              </w:rPr>
              <w:t xml:space="preserve">, </w:t>
            </w:r>
            <w:r w:rsidR="0092608E" w:rsidRPr="0092608E">
              <w:rPr>
                <w:rFonts w:eastAsia="Times New Roman" w:cstheme="minorHAnsi"/>
                <w:bCs/>
              </w:rPr>
              <w:t>le Ministère de la Santé, avec la DSSB comme direction en chef de file, et avec l’appui technique et financier de l’UNFPA Tunisie, a initié un programme de renforcement du SSDMR</w:t>
            </w:r>
            <w:r w:rsidR="00636A31">
              <w:rPr>
                <w:rFonts w:eastAsia="Times New Roman" w:cstheme="minorHAnsi"/>
                <w:bCs/>
              </w:rPr>
              <w:t xml:space="preserve"> 2023-2025</w:t>
            </w:r>
            <w:r w:rsidR="0092608E">
              <w:rPr>
                <w:rFonts w:eastAsia="Times New Roman" w:cstheme="minorHAnsi"/>
                <w:bCs/>
              </w:rPr>
              <w:t>.</w:t>
            </w:r>
            <w:r w:rsidR="00636A31">
              <w:rPr>
                <w:rFonts w:eastAsia="Times New Roman" w:cstheme="minorHAnsi"/>
                <w:bCs/>
              </w:rPr>
              <w:t xml:space="preserve"> </w:t>
            </w:r>
            <w:r w:rsidR="0092608E" w:rsidRPr="0092608E">
              <w:rPr>
                <w:rFonts w:eastAsia="Times New Roman" w:cstheme="minorHAnsi"/>
                <w:bCs/>
              </w:rPr>
              <w:t>Il est attendu que ce programme permettra au SSDMR d’être renforcé et opérationnel aux niveaux national et infranational</w:t>
            </w:r>
            <w:r w:rsidR="00636A31">
              <w:rPr>
                <w:rFonts w:eastAsia="Times New Roman" w:cstheme="minorHAnsi"/>
                <w:bCs/>
              </w:rPr>
              <w:t>, et de fonctionner</w:t>
            </w:r>
            <w:r w:rsidR="0092608E" w:rsidRPr="0092608E">
              <w:rPr>
                <w:rFonts w:eastAsia="Times New Roman" w:cstheme="minorHAnsi"/>
                <w:bCs/>
              </w:rPr>
              <w:t xml:space="preserve"> conformément aux indicateurs de performance</w:t>
            </w:r>
            <w:r w:rsidR="00636A31">
              <w:rPr>
                <w:rFonts w:eastAsia="Times New Roman" w:cstheme="minorHAnsi"/>
                <w:bCs/>
              </w:rPr>
              <w:t xml:space="preserve"> nationaux à</w:t>
            </w:r>
            <w:r w:rsidR="0092608E" w:rsidRPr="0092608E">
              <w:rPr>
                <w:rFonts w:eastAsia="Times New Roman" w:cstheme="minorHAnsi"/>
                <w:bCs/>
              </w:rPr>
              <w:t xml:space="preserve"> défini</w:t>
            </w:r>
            <w:r w:rsidR="00636A31">
              <w:rPr>
                <w:rFonts w:eastAsia="Times New Roman" w:cstheme="minorHAnsi"/>
                <w:bCs/>
              </w:rPr>
              <w:t>r</w:t>
            </w:r>
            <w:r w:rsidR="0092608E" w:rsidRPr="0092608E">
              <w:rPr>
                <w:rFonts w:eastAsia="Times New Roman" w:cstheme="minorHAnsi"/>
                <w:bCs/>
              </w:rPr>
              <w:t>. Il compte</w:t>
            </w:r>
            <w:r w:rsidR="0092608E">
              <w:rPr>
                <w:rFonts w:eastAsia="Times New Roman" w:cstheme="minorHAnsi"/>
                <w:bCs/>
              </w:rPr>
              <w:t>ra ainsi</w:t>
            </w:r>
            <w:r w:rsidR="0092608E" w:rsidRPr="0092608E">
              <w:rPr>
                <w:rFonts w:eastAsia="Times New Roman" w:cstheme="minorHAnsi"/>
                <w:bCs/>
              </w:rPr>
              <w:t xml:space="preserve"> avec précision chaque décès maternel et fourni</w:t>
            </w:r>
            <w:r w:rsidR="0092608E">
              <w:rPr>
                <w:rFonts w:eastAsia="Times New Roman" w:cstheme="minorHAnsi"/>
                <w:bCs/>
              </w:rPr>
              <w:t>ra</w:t>
            </w:r>
            <w:r w:rsidR="0092608E" w:rsidRPr="0092608E">
              <w:rPr>
                <w:rFonts w:eastAsia="Times New Roman" w:cstheme="minorHAnsi"/>
                <w:bCs/>
              </w:rPr>
              <w:t xml:space="preserve"> des informations pertinentes orientant efficacement les actions</w:t>
            </w:r>
            <w:r w:rsidR="0092608E">
              <w:rPr>
                <w:rFonts w:eastAsia="Times New Roman" w:cstheme="minorHAnsi"/>
                <w:bCs/>
              </w:rPr>
              <w:t xml:space="preserve"> visant l’élimination de la mor</w:t>
            </w:r>
            <w:r w:rsidR="0092608E" w:rsidRPr="0092608E">
              <w:rPr>
                <w:rFonts w:eastAsia="Times New Roman" w:cstheme="minorHAnsi"/>
                <w:bCs/>
              </w:rPr>
              <w:t>talité maternelle évitable dans le pays.</w:t>
            </w:r>
          </w:p>
          <w:p w14:paraId="03E4CC3E" w14:textId="4CD55569" w:rsidR="0092608E" w:rsidRDefault="0092608E" w:rsidP="001B7C85">
            <w:pPr>
              <w:tabs>
                <w:tab w:val="left" w:pos="-720"/>
              </w:tabs>
              <w:suppressAutoHyphens/>
              <w:spacing w:before="40" w:after="120" w:line="240" w:lineRule="auto"/>
              <w:jc w:val="both"/>
              <w:rPr>
                <w:rFonts w:eastAsia="Times New Roman" w:cstheme="minorHAnsi"/>
                <w:bCs/>
              </w:rPr>
            </w:pPr>
            <w:r w:rsidRPr="0092608E">
              <w:rPr>
                <w:rFonts w:eastAsia="Times New Roman" w:cstheme="minorHAnsi"/>
                <w:bCs/>
              </w:rPr>
              <w:t>En vue d’atteindre l</w:t>
            </w:r>
            <w:r w:rsidR="00C5268C">
              <w:rPr>
                <w:rFonts w:eastAsia="Times New Roman" w:cstheme="minorHAnsi"/>
                <w:bCs/>
              </w:rPr>
              <w:t xml:space="preserve">es </w:t>
            </w:r>
            <w:r w:rsidRPr="0092608E">
              <w:rPr>
                <w:rFonts w:eastAsia="Times New Roman" w:cstheme="minorHAnsi"/>
                <w:bCs/>
              </w:rPr>
              <w:t>objectif visé</w:t>
            </w:r>
            <w:r w:rsidR="00C5268C">
              <w:rPr>
                <w:rFonts w:eastAsia="Times New Roman" w:cstheme="minorHAnsi"/>
                <w:bCs/>
              </w:rPr>
              <w:t>s</w:t>
            </w:r>
            <w:r w:rsidRPr="0092608E">
              <w:rPr>
                <w:rFonts w:eastAsia="Times New Roman" w:cstheme="minorHAnsi"/>
                <w:bCs/>
              </w:rPr>
              <w:t>, le</w:t>
            </w:r>
            <w:r w:rsidR="00636A31">
              <w:rPr>
                <w:rFonts w:eastAsia="Times New Roman" w:cstheme="minorHAnsi"/>
                <w:bCs/>
              </w:rPr>
              <w:t xml:space="preserve"> programme prévoit</w:t>
            </w:r>
            <w:r w:rsidRPr="0092608E">
              <w:rPr>
                <w:rFonts w:eastAsia="Times New Roman" w:cstheme="minorHAnsi"/>
                <w:bCs/>
              </w:rPr>
              <w:t xml:space="preserve"> une </w:t>
            </w:r>
            <w:r w:rsidR="00D55D01" w:rsidRPr="0092608E">
              <w:rPr>
                <w:rFonts w:eastAsia="Times New Roman" w:cstheme="minorHAnsi"/>
                <w:bCs/>
              </w:rPr>
              <w:t xml:space="preserve">démarche </w:t>
            </w:r>
            <w:r w:rsidR="00636A31">
              <w:rPr>
                <w:rFonts w:eastAsia="Times New Roman" w:cstheme="minorHAnsi"/>
                <w:bCs/>
              </w:rPr>
              <w:t xml:space="preserve">par étapes </w:t>
            </w:r>
            <w:r w:rsidR="00C5268C">
              <w:rPr>
                <w:rFonts w:eastAsia="Times New Roman" w:cstheme="minorHAnsi"/>
                <w:bCs/>
              </w:rPr>
              <w:t>basée sur les</w:t>
            </w:r>
            <w:r w:rsidR="00D55D01" w:rsidRPr="0092608E">
              <w:rPr>
                <w:rFonts w:eastAsia="Times New Roman" w:cstheme="minorHAnsi"/>
                <w:bCs/>
              </w:rPr>
              <w:t xml:space="preserve"> directives et recommandations internationales</w:t>
            </w:r>
            <w:r w:rsidR="00C5268C">
              <w:rPr>
                <w:rFonts w:eastAsia="Times New Roman" w:cstheme="minorHAnsi"/>
                <w:bCs/>
              </w:rPr>
              <w:t>, en menant</w:t>
            </w:r>
            <w:r w:rsidRPr="0092608E">
              <w:rPr>
                <w:rFonts w:eastAsia="Times New Roman" w:cstheme="minorHAnsi"/>
                <w:bCs/>
              </w:rPr>
              <w:t xml:space="preserve"> une évaluation </w:t>
            </w:r>
            <w:r w:rsidR="00C5268C">
              <w:rPr>
                <w:rFonts w:eastAsia="Times New Roman" w:cstheme="minorHAnsi"/>
                <w:bCs/>
              </w:rPr>
              <w:t>approfondie</w:t>
            </w:r>
            <w:r w:rsidRPr="0092608E">
              <w:rPr>
                <w:rFonts w:eastAsia="Times New Roman" w:cstheme="minorHAnsi"/>
                <w:bCs/>
              </w:rPr>
              <w:t xml:space="preserve"> </w:t>
            </w:r>
            <w:r w:rsidR="001B7C85">
              <w:rPr>
                <w:rFonts w:eastAsia="Times New Roman" w:cstheme="minorHAnsi"/>
                <w:bCs/>
              </w:rPr>
              <w:t>pour voir dans quelle mesure</w:t>
            </w:r>
            <w:r w:rsidRPr="0092608E">
              <w:rPr>
                <w:rFonts w:eastAsia="Times New Roman" w:cstheme="minorHAnsi"/>
                <w:bCs/>
              </w:rPr>
              <w:t xml:space="preserve"> le SSDMR peut fonctionner de manière plus efficace et plus intégrée (notamment avec le SICD), </w:t>
            </w:r>
            <w:r w:rsidR="001B7C85">
              <w:rPr>
                <w:rFonts w:eastAsia="Times New Roman" w:cstheme="minorHAnsi"/>
                <w:bCs/>
              </w:rPr>
              <w:t>puis de procéder au développement d’un</w:t>
            </w:r>
            <w:r w:rsidRPr="0092608E">
              <w:rPr>
                <w:rFonts w:eastAsia="Times New Roman" w:cstheme="minorHAnsi"/>
                <w:bCs/>
              </w:rPr>
              <w:t xml:space="preserve"> plan </w:t>
            </w:r>
            <w:r w:rsidR="00636A31">
              <w:rPr>
                <w:rFonts w:eastAsia="Times New Roman" w:cstheme="minorHAnsi"/>
                <w:bCs/>
              </w:rPr>
              <w:t>d</w:t>
            </w:r>
            <w:r w:rsidRPr="0092608E">
              <w:rPr>
                <w:rFonts w:eastAsia="Times New Roman" w:cstheme="minorHAnsi"/>
                <w:bCs/>
              </w:rPr>
              <w:t>e renforcement adapté</w:t>
            </w:r>
            <w:r w:rsidR="00636A31">
              <w:rPr>
                <w:rFonts w:eastAsia="Times New Roman" w:cstheme="minorHAnsi"/>
                <w:bCs/>
              </w:rPr>
              <w:t xml:space="preserve"> ainsi qu’un plan d’exécution révisé</w:t>
            </w:r>
            <w:r w:rsidR="00C5268C">
              <w:rPr>
                <w:rFonts w:eastAsia="Times New Roman" w:cstheme="minorHAnsi"/>
                <w:bCs/>
              </w:rPr>
              <w:t xml:space="preserve"> avec un </w:t>
            </w:r>
            <w:r w:rsidRPr="0092608E">
              <w:rPr>
                <w:rFonts w:eastAsia="Times New Roman" w:cstheme="minorHAnsi"/>
                <w:bCs/>
              </w:rPr>
              <w:t xml:space="preserve">cadre de suivi et d’évaluation (S&amp;E) clair pour </w:t>
            </w:r>
            <w:r w:rsidR="00636A31">
              <w:rPr>
                <w:rFonts w:eastAsia="Times New Roman" w:cstheme="minorHAnsi"/>
                <w:bCs/>
              </w:rPr>
              <w:t xml:space="preserve">le </w:t>
            </w:r>
            <w:r w:rsidR="001B7C85">
              <w:rPr>
                <w:rFonts w:eastAsia="Times New Roman" w:cstheme="minorHAnsi"/>
                <w:bCs/>
              </w:rPr>
              <w:t>monitoring continu</w:t>
            </w:r>
            <w:r w:rsidR="00636A31">
              <w:rPr>
                <w:rFonts w:eastAsia="Times New Roman" w:cstheme="minorHAnsi"/>
                <w:bCs/>
              </w:rPr>
              <w:t xml:space="preserve"> de l</w:t>
            </w:r>
            <w:r w:rsidRPr="0092608E">
              <w:rPr>
                <w:rFonts w:eastAsia="Times New Roman" w:cstheme="minorHAnsi"/>
                <w:bCs/>
              </w:rPr>
              <w:t>a performance</w:t>
            </w:r>
            <w:r w:rsidR="00636A31">
              <w:rPr>
                <w:rFonts w:eastAsia="Times New Roman" w:cstheme="minorHAnsi"/>
                <w:bCs/>
              </w:rPr>
              <w:t xml:space="preserve"> du SSDMR</w:t>
            </w:r>
            <w:r w:rsidRPr="0092608E">
              <w:rPr>
                <w:rFonts w:eastAsia="Times New Roman" w:cstheme="minorHAnsi"/>
                <w:bCs/>
              </w:rPr>
              <w:t xml:space="preserve">. </w:t>
            </w:r>
          </w:p>
          <w:p w14:paraId="2A1D289E" w14:textId="66B9CE2E" w:rsidR="0092608E" w:rsidRPr="00636A31" w:rsidRDefault="0092608E" w:rsidP="00636A31">
            <w:pPr>
              <w:tabs>
                <w:tab w:val="left" w:pos="-720"/>
              </w:tabs>
              <w:suppressAutoHyphens/>
              <w:spacing w:before="40" w:after="120" w:line="240" w:lineRule="auto"/>
              <w:jc w:val="both"/>
              <w:rPr>
                <w:rFonts w:eastAsia="Times New Roman" w:cstheme="minorHAnsi"/>
                <w:b/>
              </w:rPr>
            </w:pPr>
            <w:r w:rsidRPr="00636A31">
              <w:rPr>
                <w:rFonts w:eastAsia="Times New Roman" w:cstheme="minorHAnsi"/>
                <w:b/>
              </w:rPr>
              <w:t>C’est dans ce cadre que le Ministère de la Santé</w:t>
            </w:r>
            <w:r w:rsidR="00636A31" w:rsidRPr="00636A31">
              <w:rPr>
                <w:rFonts w:eastAsia="Times New Roman" w:cstheme="minorHAnsi"/>
                <w:b/>
              </w:rPr>
              <w:t xml:space="preserve"> -</w:t>
            </w:r>
            <w:r w:rsidRPr="00636A31">
              <w:rPr>
                <w:rFonts w:eastAsia="Times New Roman" w:cstheme="minorHAnsi"/>
                <w:b/>
              </w:rPr>
              <w:t xml:space="preserve"> DSSB et l’UNFPA Tunisie – Fonds des Nations Unies pour la Population, </w:t>
            </w:r>
            <w:r w:rsidR="00636A31" w:rsidRPr="00636A31">
              <w:rPr>
                <w:rFonts w:eastAsia="Times New Roman" w:cstheme="minorHAnsi"/>
                <w:b/>
              </w:rPr>
              <w:t xml:space="preserve">comptent recruter </w:t>
            </w:r>
            <w:proofErr w:type="spellStart"/>
            <w:r w:rsidR="00636A31" w:rsidRPr="00636A31">
              <w:rPr>
                <w:rFonts w:eastAsia="Times New Roman" w:cstheme="minorHAnsi"/>
                <w:b/>
              </w:rPr>
              <w:t>un.e</w:t>
            </w:r>
            <w:proofErr w:type="spellEnd"/>
            <w:r w:rsidR="00636A31" w:rsidRPr="00636A31">
              <w:rPr>
                <w:rFonts w:eastAsia="Times New Roman" w:cstheme="minorHAnsi"/>
                <w:b/>
              </w:rPr>
              <w:t xml:space="preserve"> </w:t>
            </w:r>
            <w:proofErr w:type="spellStart"/>
            <w:r w:rsidR="00636A31" w:rsidRPr="00636A31">
              <w:rPr>
                <w:rFonts w:eastAsia="Times New Roman" w:cstheme="minorHAnsi"/>
                <w:b/>
              </w:rPr>
              <w:t>expert.e</w:t>
            </w:r>
            <w:proofErr w:type="spellEnd"/>
            <w:r w:rsidR="00636A31" w:rsidRPr="00636A31">
              <w:rPr>
                <w:rFonts w:eastAsia="Times New Roman" w:cstheme="minorHAnsi"/>
                <w:b/>
              </w:rPr>
              <w:t xml:space="preserve"> </w:t>
            </w:r>
            <w:proofErr w:type="spellStart"/>
            <w:r w:rsidR="00636A31" w:rsidRPr="00636A31">
              <w:rPr>
                <w:rFonts w:eastAsia="Times New Roman" w:cstheme="minorHAnsi"/>
                <w:b/>
              </w:rPr>
              <w:t>national.e</w:t>
            </w:r>
            <w:proofErr w:type="spellEnd"/>
            <w:r w:rsidR="00636A31" w:rsidRPr="00636A31">
              <w:rPr>
                <w:rFonts w:eastAsia="Times New Roman" w:cstheme="minorHAnsi"/>
                <w:b/>
              </w:rPr>
              <w:t xml:space="preserve"> en santé publique senior </w:t>
            </w:r>
            <w:proofErr w:type="spellStart"/>
            <w:r w:rsidR="00636A31" w:rsidRPr="00636A31">
              <w:rPr>
                <w:rFonts w:eastAsia="Times New Roman" w:cstheme="minorHAnsi"/>
                <w:b/>
              </w:rPr>
              <w:t>chargé.e</w:t>
            </w:r>
            <w:proofErr w:type="spellEnd"/>
            <w:r w:rsidR="00636A31" w:rsidRPr="00636A31">
              <w:rPr>
                <w:rFonts w:eastAsia="Times New Roman" w:cstheme="minorHAnsi"/>
                <w:b/>
              </w:rPr>
              <w:t xml:space="preserve"> de l’évaluation nationale du système de suivi des décès maternels et riposte (SSDMR).</w:t>
            </w:r>
          </w:p>
        </w:tc>
      </w:tr>
      <w:tr w:rsidR="00730330" w:rsidRPr="0092608E" w14:paraId="614C0C32" w14:textId="77777777" w:rsidTr="00A25173">
        <w:tblPrEx>
          <w:tblCellMar>
            <w:left w:w="148" w:type="dxa"/>
            <w:right w:w="148" w:type="dxa"/>
          </w:tblCellMar>
        </w:tblPrEx>
        <w:tc>
          <w:tcPr>
            <w:tcW w:w="2178" w:type="dxa"/>
            <w:tcBorders>
              <w:top w:val="single" w:sz="6" w:space="0" w:color="auto"/>
              <w:left w:val="double" w:sz="6" w:space="0" w:color="auto"/>
              <w:bottom w:val="single" w:sz="6" w:space="0" w:color="auto"/>
            </w:tcBorders>
            <w:shd w:val="clear" w:color="auto" w:fill="auto"/>
          </w:tcPr>
          <w:p w14:paraId="4EF1B573" w14:textId="764E6ADA" w:rsidR="00730330" w:rsidRPr="0092608E" w:rsidRDefault="003B01C8" w:rsidP="00730330">
            <w:pPr>
              <w:tabs>
                <w:tab w:val="left" w:pos="-720"/>
              </w:tabs>
              <w:suppressAutoHyphens/>
              <w:spacing w:before="40" w:after="54" w:line="240" w:lineRule="auto"/>
              <w:jc w:val="both"/>
              <w:rPr>
                <w:rFonts w:eastAsia="Times New Roman" w:cstheme="minorHAnsi"/>
                <w:b/>
                <w:bCs/>
                <w:i/>
                <w:iCs/>
                <w:sz w:val="24"/>
                <w:szCs w:val="24"/>
              </w:rPr>
            </w:pPr>
            <w:r w:rsidRPr="0092608E">
              <w:rPr>
                <w:rFonts w:cstheme="minorHAnsi"/>
                <w:b/>
                <w:bCs/>
                <w:i/>
                <w:iCs/>
                <w:sz w:val="24"/>
                <w:szCs w:val="24"/>
              </w:rPr>
              <w:lastRenderedPageBreak/>
              <w:t>Objectif de la consultation et responsabilité de l’</w:t>
            </w:r>
            <w:proofErr w:type="spellStart"/>
            <w:r w:rsidRPr="0092608E">
              <w:rPr>
                <w:rFonts w:cstheme="minorHAnsi"/>
                <w:b/>
                <w:bCs/>
                <w:i/>
                <w:iCs/>
                <w:sz w:val="24"/>
                <w:szCs w:val="24"/>
              </w:rPr>
              <w:t>expert.e</w:t>
            </w:r>
            <w:proofErr w:type="spellEnd"/>
          </w:p>
        </w:tc>
        <w:tc>
          <w:tcPr>
            <w:tcW w:w="7796" w:type="dxa"/>
            <w:tcBorders>
              <w:top w:val="single" w:sz="6" w:space="0" w:color="auto"/>
              <w:left w:val="single" w:sz="6" w:space="0" w:color="auto"/>
              <w:bottom w:val="single" w:sz="6" w:space="0" w:color="auto"/>
              <w:right w:val="double" w:sz="6" w:space="0" w:color="auto"/>
            </w:tcBorders>
            <w:shd w:val="clear" w:color="auto" w:fill="auto"/>
          </w:tcPr>
          <w:p w14:paraId="74EC9BD7" w14:textId="3AE491A1" w:rsidR="001B7C85" w:rsidRPr="001B7C85" w:rsidRDefault="001B7C85" w:rsidP="007254F2">
            <w:pPr>
              <w:spacing w:after="0"/>
              <w:jc w:val="both"/>
              <w:rPr>
                <w:rFonts w:eastAsia="Times New Roman" w:cstheme="minorHAnsi"/>
                <w:bCs/>
                <w:u w:val="single"/>
              </w:rPr>
            </w:pPr>
            <w:r w:rsidRPr="001B7C85">
              <w:rPr>
                <w:rFonts w:eastAsia="Times New Roman" w:cstheme="minorHAnsi"/>
                <w:b/>
                <w:u w:val="single"/>
              </w:rPr>
              <w:t>O</w:t>
            </w:r>
            <w:r w:rsidR="00636A31" w:rsidRPr="001B7C85">
              <w:rPr>
                <w:rFonts w:eastAsia="Times New Roman" w:cstheme="minorHAnsi"/>
                <w:b/>
                <w:u w:val="single"/>
              </w:rPr>
              <w:t>bjectif</w:t>
            </w:r>
            <w:r w:rsidR="007254F2">
              <w:rPr>
                <w:rFonts w:eastAsia="Times New Roman" w:cstheme="minorHAnsi"/>
                <w:b/>
                <w:u w:val="single"/>
              </w:rPr>
              <w:t xml:space="preserve">s de l’évaluation du SSDMR </w:t>
            </w:r>
            <w:r w:rsidRPr="001B7C85">
              <w:rPr>
                <w:rFonts w:eastAsia="Times New Roman" w:cstheme="minorHAnsi"/>
                <w:b/>
                <w:u w:val="single"/>
              </w:rPr>
              <w:t xml:space="preserve">: </w:t>
            </w:r>
          </w:p>
          <w:p w14:paraId="631746E3" w14:textId="139C4302" w:rsidR="001B7C85" w:rsidRPr="00256B23" w:rsidRDefault="001B7C85" w:rsidP="00256B23">
            <w:pPr>
              <w:tabs>
                <w:tab w:val="left" w:pos="-720"/>
              </w:tabs>
              <w:suppressAutoHyphens/>
              <w:spacing w:before="40" w:after="120" w:line="240" w:lineRule="auto"/>
              <w:jc w:val="both"/>
              <w:rPr>
                <w:rFonts w:eastAsia="Times New Roman" w:cstheme="minorHAnsi"/>
                <w:bCs/>
              </w:rPr>
            </w:pPr>
            <w:r w:rsidRPr="001B7C85">
              <w:rPr>
                <w:rFonts w:eastAsia="Times New Roman" w:cstheme="minorHAnsi"/>
                <w:bCs/>
              </w:rPr>
              <w:t>L</w:t>
            </w:r>
            <w:r w:rsidR="007254F2">
              <w:rPr>
                <w:rFonts w:eastAsia="Times New Roman" w:cstheme="minorHAnsi"/>
                <w:bCs/>
              </w:rPr>
              <w:t>’é</w:t>
            </w:r>
            <w:r w:rsidRPr="001B7C85">
              <w:rPr>
                <w:rFonts w:eastAsia="Times New Roman" w:cstheme="minorHAnsi"/>
                <w:bCs/>
              </w:rPr>
              <w:t>valuation nationale du SSDMR</w:t>
            </w:r>
            <w:r>
              <w:rPr>
                <w:rFonts w:eastAsia="Times New Roman" w:cstheme="minorHAnsi"/>
                <w:b/>
              </w:rPr>
              <w:t> </w:t>
            </w:r>
            <w:r w:rsidR="007254F2">
              <w:t>aura pour but de</w:t>
            </w:r>
            <w:r w:rsidR="00C5268C">
              <w:t xml:space="preserve"> faire le point de manière structurée</w:t>
            </w:r>
            <w:r w:rsidR="007254F2">
              <w:t xml:space="preserve"> et </w:t>
            </w:r>
            <w:r w:rsidR="007254F2" w:rsidRPr="00256B23">
              <w:rPr>
                <w:rFonts w:eastAsia="Times New Roman" w:cstheme="minorHAnsi"/>
                <w:bCs/>
              </w:rPr>
              <w:t>approfondie</w:t>
            </w:r>
            <w:r w:rsidR="00C5268C" w:rsidRPr="00256B23">
              <w:rPr>
                <w:rFonts w:eastAsia="Times New Roman" w:cstheme="minorHAnsi"/>
                <w:bCs/>
              </w:rPr>
              <w:t xml:space="preserve"> </w:t>
            </w:r>
            <w:r w:rsidR="007254F2" w:rsidRPr="00256B23">
              <w:rPr>
                <w:rFonts w:eastAsia="Times New Roman" w:cstheme="minorHAnsi"/>
                <w:bCs/>
              </w:rPr>
              <w:t>sur</w:t>
            </w:r>
            <w:r w:rsidR="00C5268C" w:rsidRPr="00256B23">
              <w:rPr>
                <w:rFonts w:eastAsia="Times New Roman" w:cstheme="minorHAnsi"/>
                <w:bCs/>
              </w:rPr>
              <w:t xml:space="preserve"> chaque étape du</w:t>
            </w:r>
            <w:r w:rsidRPr="00256B23">
              <w:rPr>
                <w:rFonts w:eastAsia="Times New Roman" w:cstheme="minorHAnsi"/>
                <w:bCs/>
              </w:rPr>
              <w:t xml:space="preserve"> processus du</w:t>
            </w:r>
            <w:r w:rsidR="00C5268C" w:rsidRPr="00256B23">
              <w:rPr>
                <w:rFonts w:eastAsia="Times New Roman" w:cstheme="minorHAnsi"/>
                <w:bCs/>
              </w:rPr>
              <w:t xml:space="preserve"> SSDMR</w:t>
            </w:r>
            <w:r w:rsidRPr="00256B23">
              <w:rPr>
                <w:rFonts w:eastAsia="Times New Roman" w:cstheme="minorHAnsi"/>
                <w:bCs/>
              </w:rPr>
              <w:t xml:space="preserve"> </w:t>
            </w:r>
            <w:r w:rsidR="007254F2" w:rsidRPr="00256B23">
              <w:rPr>
                <w:rFonts w:eastAsia="Times New Roman" w:cstheme="minorHAnsi"/>
                <w:bCs/>
              </w:rPr>
              <w:t xml:space="preserve">tel qu’organisé en 2023 </w:t>
            </w:r>
            <w:r w:rsidRPr="00256B23">
              <w:rPr>
                <w:rFonts w:eastAsia="Times New Roman" w:cstheme="minorHAnsi"/>
                <w:bCs/>
              </w:rPr>
              <w:t>(</w:t>
            </w:r>
            <w:r w:rsidR="00C5268C" w:rsidRPr="00256B23">
              <w:rPr>
                <w:rFonts w:eastAsia="Times New Roman" w:cstheme="minorHAnsi"/>
                <w:bCs/>
              </w:rPr>
              <w:t>l’identification</w:t>
            </w:r>
            <w:r w:rsidRPr="00256B23">
              <w:rPr>
                <w:rFonts w:eastAsia="Times New Roman" w:cstheme="minorHAnsi"/>
                <w:bCs/>
              </w:rPr>
              <w:t xml:space="preserve">, la notification, l’analyse, </w:t>
            </w:r>
            <w:r w:rsidR="00C5268C" w:rsidRPr="00256B23">
              <w:rPr>
                <w:rFonts w:eastAsia="Times New Roman" w:cstheme="minorHAnsi"/>
                <w:bCs/>
              </w:rPr>
              <w:t>la riposte</w:t>
            </w:r>
            <w:r w:rsidRPr="00256B23">
              <w:rPr>
                <w:rFonts w:eastAsia="Times New Roman" w:cstheme="minorHAnsi"/>
                <w:bCs/>
              </w:rPr>
              <w:t xml:space="preserve">, le </w:t>
            </w:r>
            <w:proofErr w:type="spellStart"/>
            <w:r w:rsidRPr="00256B23">
              <w:rPr>
                <w:rFonts w:eastAsia="Times New Roman" w:cstheme="minorHAnsi"/>
                <w:bCs/>
              </w:rPr>
              <w:t>reporting</w:t>
            </w:r>
            <w:proofErr w:type="spellEnd"/>
            <w:r w:rsidRPr="00256B23">
              <w:rPr>
                <w:rFonts w:eastAsia="Times New Roman" w:cstheme="minorHAnsi"/>
                <w:bCs/>
              </w:rPr>
              <w:t xml:space="preserve"> &amp; le</w:t>
            </w:r>
            <w:r w:rsidR="00C5268C" w:rsidRPr="00256B23">
              <w:rPr>
                <w:rFonts w:eastAsia="Times New Roman" w:cstheme="minorHAnsi"/>
                <w:bCs/>
              </w:rPr>
              <w:t xml:space="preserve"> suivi</w:t>
            </w:r>
            <w:r w:rsidRPr="00256B23">
              <w:rPr>
                <w:rFonts w:eastAsia="Times New Roman" w:cstheme="minorHAnsi"/>
                <w:bCs/>
              </w:rPr>
              <w:t xml:space="preserve"> et la dissémination des résultats de suivi</w:t>
            </w:r>
            <w:r w:rsidR="00C5268C" w:rsidRPr="00256B23">
              <w:rPr>
                <w:rFonts w:eastAsia="Times New Roman" w:cstheme="minorHAnsi"/>
                <w:bCs/>
              </w:rPr>
              <w:t>)</w:t>
            </w:r>
            <w:r w:rsidR="007254F2" w:rsidRPr="00256B23">
              <w:rPr>
                <w:rFonts w:eastAsia="Times New Roman" w:cstheme="minorHAnsi"/>
                <w:bCs/>
              </w:rPr>
              <w:t>,</w:t>
            </w:r>
            <w:r w:rsidRPr="00256B23">
              <w:rPr>
                <w:rFonts w:eastAsia="Times New Roman" w:cstheme="minorHAnsi"/>
                <w:bCs/>
              </w:rPr>
              <w:t xml:space="preserve"> et</w:t>
            </w:r>
            <w:r w:rsidR="00C5268C" w:rsidRPr="00256B23">
              <w:rPr>
                <w:rFonts w:eastAsia="Times New Roman" w:cstheme="minorHAnsi"/>
                <w:bCs/>
              </w:rPr>
              <w:t xml:space="preserve"> </w:t>
            </w:r>
            <w:r w:rsidRPr="00256B23">
              <w:rPr>
                <w:rFonts w:eastAsia="Times New Roman" w:cstheme="minorHAnsi"/>
                <w:bCs/>
              </w:rPr>
              <w:t>d’identifier les succès et de cerner les limiter, les obstacles et le</w:t>
            </w:r>
            <w:r w:rsidR="00636A31" w:rsidRPr="00256B23">
              <w:rPr>
                <w:rFonts w:eastAsia="Times New Roman" w:cstheme="minorHAnsi"/>
                <w:bCs/>
              </w:rPr>
              <w:t>s enjeux pour chacune d’elles, afin de définir comment le système pourrait fonctionner plus efficacement.</w:t>
            </w:r>
            <w:r w:rsidRPr="00256B23">
              <w:rPr>
                <w:rFonts w:eastAsia="Times New Roman" w:cstheme="minorHAnsi"/>
                <w:bCs/>
              </w:rPr>
              <w:t xml:space="preserve"> </w:t>
            </w:r>
          </w:p>
          <w:p w14:paraId="6C6F9CEC" w14:textId="77777777" w:rsidR="001B7C85" w:rsidRPr="00256B23" w:rsidRDefault="00D55D01" w:rsidP="00256B23">
            <w:pPr>
              <w:pStyle w:val="ListParagraph"/>
              <w:numPr>
                <w:ilvl w:val="0"/>
                <w:numId w:val="33"/>
              </w:numPr>
              <w:tabs>
                <w:tab w:val="left" w:pos="-720"/>
              </w:tabs>
              <w:suppressAutoHyphens/>
              <w:spacing w:before="40" w:after="120" w:line="240" w:lineRule="auto"/>
              <w:ind w:left="422"/>
              <w:jc w:val="both"/>
              <w:rPr>
                <w:rFonts w:eastAsia="Times New Roman" w:cstheme="minorHAnsi"/>
                <w:bCs/>
              </w:rPr>
            </w:pPr>
            <w:r w:rsidRPr="00256B23">
              <w:rPr>
                <w:rFonts w:eastAsia="Times New Roman" w:cstheme="minorHAnsi"/>
                <w:bCs/>
              </w:rPr>
              <w:t>Cela comprendra</w:t>
            </w:r>
            <w:r w:rsidRPr="00636A31">
              <w:t xml:space="preserve"> une évaluation de la couverture du SSDMR, de la qualité des informations produites, et </w:t>
            </w:r>
            <w:r w:rsidRPr="00256B23">
              <w:rPr>
                <w:rFonts w:eastAsia="Times New Roman" w:cstheme="minorHAnsi"/>
                <w:bCs/>
              </w:rPr>
              <w:t xml:space="preserve">leur utilisation pour des actions visant à réduire la mortalité maternelle. </w:t>
            </w:r>
          </w:p>
          <w:p w14:paraId="02B7AEB9" w14:textId="77777777" w:rsidR="001B7C85" w:rsidRPr="00256B23" w:rsidRDefault="001B7C85" w:rsidP="00256B23">
            <w:pPr>
              <w:pStyle w:val="ListParagraph"/>
              <w:numPr>
                <w:ilvl w:val="0"/>
                <w:numId w:val="33"/>
              </w:numPr>
              <w:tabs>
                <w:tab w:val="left" w:pos="-720"/>
              </w:tabs>
              <w:suppressAutoHyphens/>
              <w:spacing w:before="40" w:after="120" w:line="240" w:lineRule="auto"/>
              <w:ind w:left="422"/>
              <w:jc w:val="both"/>
              <w:rPr>
                <w:rFonts w:eastAsia="Times New Roman" w:cstheme="minorHAnsi"/>
                <w:bCs/>
              </w:rPr>
            </w:pPr>
            <w:r w:rsidRPr="00256B23">
              <w:rPr>
                <w:rFonts w:eastAsia="Times New Roman" w:cstheme="minorHAnsi"/>
                <w:bCs/>
              </w:rPr>
              <w:t>Les attributs du SSDMR qu'il est particulièrement important d'évaluer comprennent l'acceptabilité, la qualité des données, leur caractère opportun, et la pérennité du système dans toutes les phases du cycle.</w:t>
            </w:r>
          </w:p>
          <w:p w14:paraId="655320C0" w14:textId="55A4449A" w:rsidR="007A0221" w:rsidRPr="00256B23" w:rsidRDefault="001B7C85" w:rsidP="00256B23">
            <w:pPr>
              <w:pStyle w:val="ListParagraph"/>
              <w:numPr>
                <w:ilvl w:val="0"/>
                <w:numId w:val="33"/>
              </w:numPr>
              <w:tabs>
                <w:tab w:val="left" w:pos="-720"/>
              </w:tabs>
              <w:suppressAutoHyphens/>
              <w:spacing w:before="40" w:after="120" w:line="240" w:lineRule="auto"/>
              <w:ind w:left="422"/>
              <w:jc w:val="both"/>
              <w:rPr>
                <w:rFonts w:eastAsia="Times New Roman" w:cstheme="minorHAnsi"/>
                <w:bCs/>
              </w:rPr>
            </w:pPr>
            <w:r w:rsidRPr="00256B23">
              <w:rPr>
                <w:rFonts w:eastAsia="Times New Roman" w:cstheme="minorHAnsi"/>
                <w:bCs/>
              </w:rPr>
              <w:t>De même, p</w:t>
            </w:r>
            <w:r w:rsidR="00D55D01" w:rsidRPr="00256B23">
              <w:rPr>
                <w:rFonts w:eastAsia="Times New Roman" w:cstheme="minorHAnsi"/>
                <w:bCs/>
              </w:rPr>
              <w:t xml:space="preserve">lusieurs dimensions clés </w:t>
            </w:r>
            <w:r w:rsidRPr="00256B23">
              <w:rPr>
                <w:rFonts w:eastAsia="Times New Roman" w:cstheme="minorHAnsi"/>
                <w:bCs/>
              </w:rPr>
              <w:t>devront être</w:t>
            </w:r>
            <w:r w:rsidR="00D55D01" w:rsidRPr="00256B23">
              <w:rPr>
                <w:rFonts w:eastAsia="Times New Roman" w:cstheme="minorHAnsi"/>
                <w:bCs/>
              </w:rPr>
              <w:t xml:space="preserve"> prises en compte tel que </w:t>
            </w:r>
            <w:r w:rsidRPr="00256B23">
              <w:rPr>
                <w:rFonts w:eastAsia="Times New Roman" w:cstheme="minorHAnsi"/>
                <w:bCs/>
              </w:rPr>
              <w:t xml:space="preserve">le cadre réglementaire global (prévoyant entre autres </w:t>
            </w:r>
            <w:r w:rsidR="00D55D01" w:rsidRPr="00256B23">
              <w:rPr>
                <w:rFonts w:eastAsia="Times New Roman" w:cstheme="minorHAnsi"/>
                <w:bCs/>
              </w:rPr>
              <w:t>le caractère obligatoire de la déclaration et la notification</w:t>
            </w:r>
            <w:r w:rsidRPr="00256B23">
              <w:rPr>
                <w:rFonts w:eastAsia="Times New Roman" w:cstheme="minorHAnsi"/>
                <w:bCs/>
              </w:rPr>
              <w:t>)</w:t>
            </w:r>
            <w:r w:rsidR="00D55D01" w:rsidRPr="00256B23">
              <w:rPr>
                <w:rFonts w:eastAsia="Times New Roman" w:cstheme="minorHAnsi"/>
                <w:bCs/>
              </w:rPr>
              <w:t xml:space="preserve">, l’intégration ou interaction avec les autres </w:t>
            </w:r>
            <w:r w:rsidR="00D55D01" w:rsidRPr="00256B23">
              <w:rPr>
                <w:rFonts w:eastAsia="Times New Roman" w:cstheme="minorHAnsi"/>
                <w:bCs/>
              </w:rPr>
              <w:lastRenderedPageBreak/>
              <w:t>systèmes de déclaration en place</w:t>
            </w:r>
            <w:r w:rsidRPr="00256B23">
              <w:rPr>
                <w:rFonts w:eastAsia="Times New Roman" w:cstheme="minorHAnsi"/>
                <w:bCs/>
              </w:rPr>
              <w:t xml:space="preserve"> ou systèmes informatiques sanitaires</w:t>
            </w:r>
            <w:r w:rsidR="00D55D01" w:rsidRPr="00256B23">
              <w:rPr>
                <w:rFonts w:eastAsia="Times New Roman" w:cstheme="minorHAnsi"/>
                <w:bCs/>
              </w:rPr>
              <w:t>, les mécanismes de mise en œuvre des recommandations et actions correctives, etc.</w:t>
            </w:r>
          </w:p>
          <w:p w14:paraId="361D0169" w14:textId="051E92E0" w:rsidR="001B7C85" w:rsidRPr="007254F2" w:rsidRDefault="001B7C85" w:rsidP="007254F2">
            <w:pPr>
              <w:spacing w:after="0"/>
              <w:jc w:val="both"/>
              <w:rPr>
                <w:b/>
                <w:bCs/>
                <w:u w:val="single"/>
              </w:rPr>
            </w:pPr>
            <w:r w:rsidRPr="007254F2">
              <w:rPr>
                <w:b/>
                <w:bCs/>
                <w:u w:val="single"/>
              </w:rPr>
              <w:t xml:space="preserve">Objectif de la mission : </w:t>
            </w:r>
          </w:p>
          <w:p w14:paraId="00F553E0" w14:textId="0BE1A98E" w:rsidR="001B7C85" w:rsidRPr="00636A31" w:rsidRDefault="001B7C85" w:rsidP="001B7C85">
            <w:pPr>
              <w:jc w:val="both"/>
            </w:pPr>
            <w:r>
              <w:t>L’</w:t>
            </w:r>
            <w:proofErr w:type="spellStart"/>
            <w:r>
              <w:t>expert.e</w:t>
            </w:r>
            <w:proofErr w:type="spellEnd"/>
            <w:r>
              <w:t xml:space="preserve"> mobilisé dans le cadre de cette mission aura la responsabilité de</w:t>
            </w:r>
            <w:r w:rsidRPr="001B7C85">
              <w:t xml:space="preserve"> préparer et diriger l’évaluation nationale du système de suivi des dé</w:t>
            </w:r>
            <w:r>
              <w:t>cès maternels et riposte</w:t>
            </w:r>
            <w:r w:rsidRPr="001B7C85">
              <w:t>.</w:t>
            </w:r>
          </w:p>
          <w:p w14:paraId="73E5B3D8" w14:textId="27C26CD6" w:rsidR="003359F3" w:rsidRDefault="001B7C85" w:rsidP="007254F2">
            <w:pPr>
              <w:jc w:val="both"/>
            </w:pPr>
            <w:r w:rsidRPr="001B7C85">
              <w:t xml:space="preserve">Plus spécifiquement, </w:t>
            </w:r>
            <w:proofErr w:type="gramStart"/>
            <w:r w:rsidRPr="001B7C85">
              <w:t>l’</w:t>
            </w:r>
            <w:proofErr w:type="spellStart"/>
            <w:r w:rsidRPr="001B7C85">
              <w:t>expert.e</w:t>
            </w:r>
            <w:proofErr w:type="spellEnd"/>
            <w:proofErr w:type="gramEnd"/>
            <w:r w:rsidRPr="001B7C85">
              <w:t xml:space="preserve"> sera </w:t>
            </w:r>
            <w:proofErr w:type="spellStart"/>
            <w:r w:rsidRPr="001B7C85">
              <w:t>amené.e</w:t>
            </w:r>
            <w:proofErr w:type="spellEnd"/>
            <w:r w:rsidRPr="001B7C85">
              <w:t xml:space="preserve"> à travailler conjointement </w:t>
            </w:r>
            <w:r w:rsidR="007254F2">
              <w:t>avec le comité de pilotage de l’activité</w:t>
            </w:r>
            <w:r w:rsidRPr="001B7C85">
              <w:t xml:space="preserve"> afin de :</w:t>
            </w:r>
          </w:p>
          <w:p w14:paraId="68D617C5" w14:textId="682AE148" w:rsidR="004D40AD" w:rsidRPr="004D40AD" w:rsidRDefault="004D40AD" w:rsidP="004D40AD">
            <w:pPr>
              <w:jc w:val="both"/>
              <w:rPr>
                <w:b/>
                <w:bCs/>
                <w:u w:val="single"/>
              </w:rPr>
            </w:pPr>
            <w:r w:rsidRPr="004D40AD">
              <w:rPr>
                <w:b/>
                <w:bCs/>
                <w:u w:val="single"/>
              </w:rPr>
              <w:t>Phase de préparation </w:t>
            </w:r>
            <w:r w:rsidRPr="004D40AD">
              <w:rPr>
                <w:i/>
                <w:iCs/>
              </w:rPr>
              <w:t>(</w:t>
            </w:r>
            <w:proofErr w:type="spellStart"/>
            <w:r w:rsidRPr="004D40AD">
              <w:rPr>
                <w:i/>
                <w:iCs/>
              </w:rPr>
              <w:t>nov</w:t>
            </w:r>
            <w:proofErr w:type="spellEnd"/>
            <w:r w:rsidRPr="004D40AD">
              <w:rPr>
                <w:i/>
                <w:iCs/>
              </w:rPr>
              <w:t xml:space="preserve"> – </w:t>
            </w:r>
            <w:proofErr w:type="spellStart"/>
            <w:r w:rsidRPr="004D40AD">
              <w:rPr>
                <w:i/>
                <w:iCs/>
              </w:rPr>
              <w:t>déc</w:t>
            </w:r>
            <w:proofErr w:type="spellEnd"/>
            <w:r w:rsidRPr="004D40AD">
              <w:rPr>
                <w:i/>
                <w:iCs/>
              </w:rPr>
              <w:t xml:space="preserve"> 2023)</w:t>
            </w:r>
          </w:p>
          <w:p w14:paraId="2D4FF0C3" w14:textId="04807654" w:rsidR="007254F2" w:rsidRDefault="007254F2" w:rsidP="007254F2">
            <w:pPr>
              <w:pStyle w:val="ListParagraph"/>
              <w:numPr>
                <w:ilvl w:val="0"/>
                <w:numId w:val="32"/>
              </w:numPr>
              <w:jc w:val="both"/>
            </w:pPr>
            <w:r w:rsidRPr="007254F2">
              <w:t>Tenir une session de mise au point avec l</w:t>
            </w:r>
            <w:r>
              <w:t>es partenaires</w:t>
            </w:r>
            <w:r w:rsidRPr="007254F2">
              <w:t xml:space="preserve"> en vue de mieux cerner les besoins et les attentes de la mission</w:t>
            </w:r>
            <w:r>
              <w:t> ;</w:t>
            </w:r>
          </w:p>
          <w:p w14:paraId="737FF9AE" w14:textId="77777777" w:rsidR="00FF3CAF" w:rsidRDefault="007254F2" w:rsidP="007254F2">
            <w:pPr>
              <w:pStyle w:val="ListParagraph"/>
              <w:numPr>
                <w:ilvl w:val="0"/>
                <w:numId w:val="32"/>
              </w:numPr>
              <w:jc w:val="both"/>
            </w:pPr>
            <w:r>
              <w:t>Etudier les guidelines et les recommandations internationales en vigueur pour le fonctionnement et l’évaluation du SSD</w:t>
            </w:r>
            <w:r w:rsidR="00FF3CAF">
              <w:t>MR en contexte de développement</w:t>
            </w:r>
          </w:p>
          <w:p w14:paraId="4A6842A8" w14:textId="1928405B" w:rsidR="007254F2" w:rsidRDefault="00FF3CAF" w:rsidP="00FF3CAF">
            <w:pPr>
              <w:pStyle w:val="ListParagraph"/>
              <w:numPr>
                <w:ilvl w:val="0"/>
                <w:numId w:val="32"/>
              </w:numPr>
              <w:jc w:val="both"/>
            </w:pPr>
            <w:r>
              <w:t>C</w:t>
            </w:r>
            <w:r w:rsidR="007254F2">
              <w:t>ollecter et a</w:t>
            </w:r>
            <w:r w:rsidR="007254F2" w:rsidRPr="007254F2">
              <w:t>ssurer l’analyse documentaire</w:t>
            </w:r>
            <w:r w:rsidR="007254F2">
              <w:t xml:space="preserve"> des rapports et textes nationaux pertinents en rapport avec la SSDMR ;</w:t>
            </w:r>
          </w:p>
          <w:p w14:paraId="37C37494" w14:textId="53DE3FA7" w:rsidR="007254F2" w:rsidRDefault="007254F2" w:rsidP="007254F2">
            <w:pPr>
              <w:pStyle w:val="ListParagraph"/>
              <w:numPr>
                <w:ilvl w:val="0"/>
                <w:numId w:val="32"/>
              </w:numPr>
              <w:jc w:val="both"/>
            </w:pPr>
            <w:r>
              <w:t>D</w:t>
            </w:r>
            <w:r w:rsidRPr="007254F2">
              <w:t>é</w:t>
            </w:r>
            <w:r>
              <w:t>finir le cadre conceptuel et les objectifs spécifiques de l’évaluation, définir les méthodes et</w:t>
            </w:r>
            <w:r w:rsidRPr="007254F2">
              <w:t xml:space="preserve"> les outils spécifiques</w:t>
            </w:r>
            <w:r>
              <w:t xml:space="preserve"> à déployer en vue de répondre aux objectifs visés ;</w:t>
            </w:r>
          </w:p>
          <w:p w14:paraId="3CF510F5" w14:textId="07CF3BD4" w:rsidR="007254F2" w:rsidRDefault="007254F2" w:rsidP="007254F2">
            <w:pPr>
              <w:pStyle w:val="ListParagraph"/>
              <w:numPr>
                <w:ilvl w:val="0"/>
                <w:numId w:val="32"/>
              </w:numPr>
              <w:jc w:val="both"/>
            </w:pPr>
            <w:r>
              <w:t>Dresser une estimation des éventuelles ressources nécessaires à mobiliser avec une spécification des besoins et termes de référence (renfort équipe évaluation, ressources financières, etc.) pour une phase de collecte de donnés sur terrain (entretiens, visites sur terrain, analyse de dossiers, etc.) ;</w:t>
            </w:r>
          </w:p>
          <w:p w14:paraId="48C860CD" w14:textId="5F8C1336" w:rsidR="00FF3CAF" w:rsidRPr="00FF3CAF" w:rsidRDefault="00FF3CAF" w:rsidP="00FF3CAF">
            <w:pPr>
              <w:pStyle w:val="ListParagraph"/>
              <w:numPr>
                <w:ilvl w:val="0"/>
                <w:numId w:val="32"/>
              </w:numPr>
            </w:pPr>
            <w:r w:rsidRPr="00FF3CAF">
              <w:t>P</w:t>
            </w:r>
            <w:r>
              <w:t>réparer le p</w:t>
            </w:r>
            <w:r w:rsidRPr="00FF3CAF">
              <w:t>lan préliminaire du rapport</w:t>
            </w:r>
            <w:r>
              <w:t xml:space="preserve"> de l’évaluation, et assurer l’</w:t>
            </w:r>
            <w:r w:rsidRPr="00FF3CAF">
              <w:t>analyse du cadre politique, juridique et réglementaire autour du SSDMR en Tunisie</w:t>
            </w:r>
            <w:r>
              <w:t xml:space="preserve"> conformément aux méthodes définies</w:t>
            </w:r>
          </w:p>
          <w:p w14:paraId="5335FE7F" w14:textId="75B90874" w:rsidR="004D40AD" w:rsidRPr="004D40AD" w:rsidRDefault="004D40AD" w:rsidP="004D40AD">
            <w:pPr>
              <w:jc w:val="both"/>
              <w:rPr>
                <w:b/>
                <w:bCs/>
              </w:rPr>
            </w:pPr>
            <w:r w:rsidRPr="004D40AD">
              <w:rPr>
                <w:b/>
                <w:bCs/>
                <w:u w:val="single"/>
              </w:rPr>
              <w:t>Phase de mise en œuvre</w:t>
            </w:r>
            <w:r w:rsidRPr="004D40AD">
              <w:rPr>
                <w:b/>
                <w:bCs/>
              </w:rPr>
              <w:t> </w:t>
            </w:r>
            <w:r w:rsidRPr="004D40AD">
              <w:rPr>
                <w:i/>
                <w:iCs/>
              </w:rPr>
              <w:t>(jan – juin 2024)</w:t>
            </w:r>
          </w:p>
          <w:p w14:paraId="6270C3D8" w14:textId="4B080DF9" w:rsidR="007254F2" w:rsidRDefault="007254F2" w:rsidP="004D40AD">
            <w:pPr>
              <w:pStyle w:val="ListParagraph"/>
              <w:numPr>
                <w:ilvl w:val="0"/>
                <w:numId w:val="40"/>
              </w:numPr>
              <w:jc w:val="both"/>
            </w:pPr>
            <w:r>
              <w:t>Diriger la phase de collecte de données sur terrain</w:t>
            </w:r>
            <w:r w:rsidR="00FF3CAF">
              <w:t xml:space="preserve"> (niveau national, infranational)</w:t>
            </w:r>
            <w:r>
              <w:t xml:space="preserve"> avec l’équipe mobilisée ;</w:t>
            </w:r>
          </w:p>
          <w:p w14:paraId="42C6A0B1" w14:textId="4CCD6F99" w:rsidR="007254F2" w:rsidRDefault="007254F2" w:rsidP="004D40AD">
            <w:pPr>
              <w:pStyle w:val="ListParagraph"/>
              <w:numPr>
                <w:ilvl w:val="0"/>
                <w:numId w:val="40"/>
              </w:numPr>
              <w:jc w:val="both"/>
            </w:pPr>
            <w:r>
              <w:t xml:space="preserve">Assurer l’analyse et la synthèse des résultats de l’évaluation et émettre des </w:t>
            </w:r>
            <w:r w:rsidRPr="007254F2">
              <w:t>réflexion</w:t>
            </w:r>
            <w:r>
              <w:t>s</w:t>
            </w:r>
            <w:r w:rsidRPr="007254F2">
              <w:t xml:space="preserve"> stratégique</w:t>
            </w:r>
            <w:r>
              <w:t>s sur les pistes les plus pertinentes pour le renforcement du SSDMR au niveau national et infranational ;</w:t>
            </w:r>
          </w:p>
          <w:p w14:paraId="081E8775" w14:textId="193595D2" w:rsidR="004D40AD" w:rsidRDefault="007254F2" w:rsidP="004D40AD">
            <w:pPr>
              <w:pStyle w:val="ListParagraph"/>
              <w:numPr>
                <w:ilvl w:val="0"/>
                <w:numId w:val="40"/>
              </w:numPr>
              <w:jc w:val="both"/>
            </w:pPr>
            <w:r>
              <w:t>Préparer un rapport préliminaire intégrant les résultats de l’évaluation</w:t>
            </w:r>
            <w:r w:rsidR="004D40AD" w:rsidRPr="007254F2">
              <w:t xml:space="preserve"> </w:t>
            </w:r>
            <w:r w:rsidR="004D40AD">
              <w:t xml:space="preserve">et les </w:t>
            </w:r>
            <w:r w:rsidR="004D40AD" w:rsidRPr="007254F2">
              <w:t>réflexion</w:t>
            </w:r>
            <w:r w:rsidR="004D40AD">
              <w:t>s</w:t>
            </w:r>
            <w:r w:rsidR="004D40AD" w:rsidRPr="007254F2">
              <w:t xml:space="preserve"> stratégique</w:t>
            </w:r>
            <w:r w:rsidR="004D40AD">
              <w:t>s sur les pistes les plus pertinentes pour le renforcement du SSDMR au niveau national et infranational ;</w:t>
            </w:r>
          </w:p>
          <w:p w14:paraId="0B776380" w14:textId="17787B7E" w:rsidR="007254F2" w:rsidRDefault="004D40AD" w:rsidP="004D40AD">
            <w:pPr>
              <w:pStyle w:val="ListParagraph"/>
              <w:numPr>
                <w:ilvl w:val="0"/>
                <w:numId w:val="40"/>
              </w:numPr>
              <w:jc w:val="both"/>
            </w:pPr>
            <w:r>
              <w:t>A</w:t>
            </w:r>
            <w:r w:rsidR="007254F2">
              <w:t xml:space="preserve">nimer un séminaire de discussion, à organiser par le comité de pilotage de l’activité, en vue de collecter les retours autour de ces résultats, de consolider l’analyse, et de renforcer les recommandations stratégiques proposées pour le renforcement du SSDMR ; </w:t>
            </w:r>
          </w:p>
          <w:p w14:paraId="65E019D6" w14:textId="78174599" w:rsidR="003359F3" w:rsidRPr="007254F2" w:rsidRDefault="007254F2" w:rsidP="004D40AD">
            <w:pPr>
              <w:pStyle w:val="ListParagraph"/>
              <w:numPr>
                <w:ilvl w:val="0"/>
                <w:numId w:val="40"/>
              </w:numPr>
              <w:tabs>
                <w:tab w:val="left" w:pos="-720"/>
              </w:tabs>
              <w:suppressAutoHyphens/>
              <w:spacing w:before="40" w:after="54" w:line="240" w:lineRule="auto"/>
              <w:jc w:val="both"/>
              <w:rPr>
                <w:rFonts w:eastAsia="Times New Roman" w:cstheme="minorHAnsi"/>
              </w:rPr>
            </w:pPr>
            <w:r>
              <w:t>Elaborer un rapport final de l’évaluation à la lumière des retours des parties prenantes intégrant la revue documentaire, la synthèse des résultats de l’évaluation ainsi que les recommandations stratégiques spécifiques pour l</w:t>
            </w:r>
            <w:r w:rsidRPr="007254F2">
              <w:t xml:space="preserve">e renforcement </w:t>
            </w:r>
            <w:r>
              <w:t>du SSDMR</w:t>
            </w:r>
            <w:r w:rsidR="003359F3" w:rsidRPr="007254F2">
              <w:rPr>
                <w:rFonts w:eastAsia="Times New Roman" w:cstheme="minorHAnsi"/>
              </w:rPr>
              <w:t xml:space="preserve"> </w:t>
            </w:r>
            <w:r>
              <w:t xml:space="preserve">au niveau national et infranational. </w:t>
            </w:r>
          </w:p>
        </w:tc>
      </w:tr>
      <w:tr w:rsidR="00730330" w:rsidRPr="0092608E" w14:paraId="69F7E8C7" w14:textId="77777777" w:rsidTr="00A25173">
        <w:tblPrEx>
          <w:tblCellMar>
            <w:left w:w="148" w:type="dxa"/>
            <w:right w:w="148" w:type="dxa"/>
          </w:tblCellMar>
        </w:tblPrEx>
        <w:tc>
          <w:tcPr>
            <w:tcW w:w="2178" w:type="dxa"/>
            <w:tcBorders>
              <w:top w:val="single" w:sz="6" w:space="0" w:color="auto"/>
              <w:left w:val="double" w:sz="6" w:space="0" w:color="auto"/>
              <w:bottom w:val="single" w:sz="6" w:space="0" w:color="auto"/>
            </w:tcBorders>
            <w:shd w:val="clear" w:color="auto" w:fill="auto"/>
          </w:tcPr>
          <w:p w14:paraId="3D7CB1C1" w14:textId="32163BC3" w:rsidR="00730330" w:rsidRPr="0092608E" w:rsidRDefault="003B01C8" w:rsidP="00730330">
            <w:pPr>
              <w:tabs>
                <w:tab w:val="left" w:pos="-720"/>
              </w:tabs>
              <w:suppressAutoHyphens/>
              <w:spacing w:before="40" w:after="54" w:line="240" w:lineRule="auto"/>
              <w:jc w:val="both"/>
              <w:rPr>
                <w:rFonts w:eastAsia="Times New Roman" w:cstheme="minorHAnsi"/>
                <w:b/>
                <w:bCs/>
                <w:i/>
                <w:iCs/>
                <w:sz w:val="24"/>
                <w:szCs w:val="24"/>
              </w:rPr>
            </w:pPr>
            <w:r w:rsidRPr="0092608E">
              <w:rPr>
                <w:rFonts w:cstheme="minorHAnsi"/>
                <w:b/>
                <w:bCs/>
                <w:i/>
                <w:iCs/>
                <w:sz w:val="24"/>
                <w:szCs w:val="24"/>
              </w:rPr>
              <w:lastRenderedPageBreak/>
              <w:t>Condition et durée de travail</w:t>
            </w:r>
          </w:p>
        </w:tc>
        <w:tc>
          <w:tcPr>
            <w:tcW w:w="7796" w:type="dxa"/>
            <w:tcBorders>
              <w:top w:val="single" w:sz="6" w:space="0" w:color="auto"/>
              <w:left w:val="single" w:sz="6" w:space="0" w:color="auto"/>
              <w:bottom w:val="single" w:sz="6" w:space="0" w:color="auto"/>
              <w:right w:val="double" w:sz="6" w:space="0" w:color="auto"/>
            </w:tcBorders>
            <w:shd w:val="clear" w:color="auto" w:fill="auto"/>
          </w:tcPr>
          <w:p w14:paraId="51594D50" w14:textId="62059A90" w:rsidR="00730330" w:rsidRPr="0092608E" w:rsidRDefault="00C92B2C" w:rsidP="003E0A78">
            <w:pPr>
              <w:spacing w:after="0" w:line="240" w:lineRule="auto"/>
              <w:rPr>
                <w:rFonts w:cstheme="minorHAnsi"/>
              </w:rPr>
            </w:pPr>
            <w:r w:rsidRPr="0092608E">
              <w:rPr>
                <w:rFonts w:cstheme="minorHAnsi"/>
              </w:rPr>
              <w:t xml:space="preserve">Durée : </w:t>
            </w:r>
            <w:r w:rsidR="00FF3CAF">
              <w:rPr>
                <w:rFonts w:cstheme="minorHAnsi"/>
              </w:rPr>
              <w:t>6</w:t>
            </w:r>
            <w:r w:rsidR="004D40AD">
              <w:rPr>
                <w:rFonts w:cstheme="minorHAnsi"/>
              </w:rPr>
              <w:t xml:space="preserve">0 </w:t>
            </w:r>
            <w:r w:rsidR="00FF3CAF">
              <w:rPr>
                <w:rFonts w:cstheme="minorHAnsi"/>
              </w:rPr>
              <w:t>jours de tra</w:t>
            </w:r>
            <w:r w:rsidR="003E0A78">
              <w:rPr>
                <w:rFonts w:cstheme="minorHAnsi"/>
              </w:rPr>
              <w:t>vail effectif, étalés entre le 20</w:t>
            </w:r>
            <w:r w:rsidR="00FF3CAF">
              <w:rPr>
                <w:rFonts w:cstheme="minorHAnsi"/>
              </w:rPr>
              <w:t xml:space="preserve"> novembre 2023 et le 31 juillet 2024 (estimation de 25 jours en 2023, 35 jours en 2024). </w:t>
            </w:r>
          </w:p>
        </w:tc>
      </w:tr>
      <w:tr w:rsidR="00B257F4" w:rsidRPr="0092608E" w14:paraId="0AF855F9" w14:textId="77777777" w:rsidTr="00D305D8">
        <w:tblPrEx>
          <w:tblCellMar>
            <w:left w:w="148" w:type="dxa"/>
            <w:right w:w="148" w:type="dxa"/>
          </w:tblCellMar>
        </w:tblPrEx>
        <w:trPr>
          <w:trHeight w:val="82"/>
        </w:trPr>
        <w:tc>
          <w:tcPr>
            <w:tcW w:w="2178" w:type="dxa"/>
            <w:tcBorders>
              <w:top w:val="single" w:sz="6" w:space="0" w:color="auto"/>
              <w:left w:val="double" w:sz="6" w:space="0" w:color="auto"/>
              <w:bottom w:val="single" w:sz="6" w:space="0" w:color="auto"/>
            </w:tcBorders>
            <w:shd w:val="clear" w:color="auto" w:fill="auto"/>
          </w:tcPr>
          <w:p w14:paraId="7F91D536" w14:textId="63FF6E41" w:rsidR="00B257F4" w:rsidRPr="0092608E" w:rsidRDefault="003B01C8" w:rsidP="00B257F4">
            <w:pPr>
              <w:tabs>
                <w:tab w:val="left" w:pos="-720"/>
              </w:tabs>
              <w:suppressAutoHyphens/>
              <w:spacing w:before="40" w:after="54" w:line="240" w:lineRule="auto"/>
              <w:jc w:val="both"/>
              <w:rPr>
                <w:rFonts w:cstheme="minorHAnsi"/>
                <w:b/>
                <w:bCs/>
                <w:i/>
                <w:iCs/>
                <w:sz w:val="24"/>
                <w:szCs w:val="24"/>
                <w:lang w:val="en-US"/>
              </w:rPr>
            </w:pPr>
            <w:r w:rsidRPr="0092608E">
              <w:rPr>
                <w:rFonts w:cstheme="minorHAnsi"/>
                <w:b/>
                <w:bCs/>
                <w:i/>
                <w:iCs/>
                <w:sz w:val="24"/>
                <w:szCs w:val="24"/>
                <w:lang w:val="en-US"/>
              </w:rPr>
              <w:t>Lieu</w:t>
            </w:r>
          </w:p>
        </w:tc>
        <w:tc>
          <w:tcPr>
            <w:tcW w:w="7796" w:type="dxa"/>
            <w:tcBorders>
              <w:top w:val="single" w:sz="6" w:space="0" w:color="auto"/>
              <w:left w:val="single" w:sz="6" w:space="0" w:color="auto"/>
              <w:bottom w:val="single" w:sz="6" w:space="0" w:color="auto"/>
              <w:right w:val="double" w:sz="6" w:space="0" w:color="auto"/>
            </w:tcBorders>
            <w:shd w:val="clear" w:color="auto" w:fill="auto"/>
          </w:tcPr>
          <w:p w14:paraId="515A2989" w14:textId="52135A78" w:rsidR="00B257F4" w:rsidRPr="0092608E" w:rsidRDefault="00256B23" w:rsidP="00256B23">
            <w:pPr>
              <w:tabs>
                <w:tab w:val="left" w:pos="-720"/>
              </w:tabs>
              <w:suppressAutoHyphens/>
              <w:spacing w:before="40" w:after="54" w:line="240" w:lineRule="auto"/>
              <w:jc w:val="both"/>
              <w:rPr>
                <w:rFonts w:eastAsia="Times New Roman" w:cstheme="minorHAnsi"/>
              </w:rPr>
            </w:pPr>
            <w:r w:rsidRPr="00256B23">
              <w:rPr>
                <w:rFonts w:eastAsia="Times New Roman" w:cstheme="minorHAnsi"/>
              </w:rPr>
              <w:t>Principaleme</w:t>
            </w:r>
            <w:r>
              <w:rPr>
                <w:rFonts w:eastAsia="Times New Roman" w:cstheme="minorHAnsi"/>
              </w:rPr>
              <w:t xml:space="preserve">nt sur le Grand Tunis, avec </w:t>
            </w:r>
            <w:r w:rsidRPr="00256B23">
              <w:rPr>
                <w:rFonts w:eastAsia="Times New Roman" w:cstheme="minorHAnsi"/>
              </w:rPr>
              <w:t xml:space="preserve"> </w:t>
            </w:r>
            <w:r>
              <w:rPr>
                <w:rFonts w:eastAsia="Times New Roman" w:cstheme="minorHAnsi"/>
              </w:rPr>
              <w:t>une p</w:t>
            </w:r>
            <w:r w:rsidRPr="00256B23">
              <w:rPr>
                <w:rFonts w:eastAsia="Times New Roman" w:cstheme="minorHAnsi"/>
              </w:rPr>
              <w:t>ossibilité de déplacements dans les régions pour les besoins de la mission (phase de diagnostic</w:t>
            </w:r>
          </w:p>
        </w:tc>
      </w:tr>
      <w:tr w:rsidR="00B257F4" w:rsidRPr="0092608E" w14:paraId="50E7442D" w14:textId="77777777" w:rsidTr="00D305D8">
        <w:tblPrEx>
          <w:tblCellMar>
            <w:left w:w="148" w:type="dxa"/>
            <w:right w:w="148" w:type="dxa"/>
          </w:tblCellMar>
        </w:tblPrEx>
        <w:trPr>
          <w:trHeight w:val="1938"/>
        </w:trPr>
        <w:tc>
          <w:tcPr>
            <w:tcW w:w="2178" w:type="dxa"/>
            <w:tcBorders>
              <w:top w:val="single" w:sz="6" w:space="0" w:color="auto"/>
              <w:left w:val="double" w:sz="6" w:space="0" w:color="auto"/>
              <w:bottom w:val="single" w:sz="6" w:space="0" w:color="auto"/>
            </w:tcBorders>
            <w:shd w:val="clear" w:color="auto" w:fill="auto"/>
          </w:tcPr>
          <w:p w14:paraId="7406E5D4" w14:textId="64C695F6" w:rsidR="00B257F4" w:rsidRPr="0092608E" w:rsidRDefault="003B01C8" w:rsidP="00B257F4">
            <w:pPr>
              <w:tabs>
                <w:tab w:val="left" w:pos="-720"/>
              </w:tabs>
              <w:suppressAutoHyphens/>
              <w:spacing w:before="40" w:after="54" w:line="240" w:lineRule="auto"/>
              <w:jc w:val="both"/>
              <w:rPr>
                <w:rFonts w:cstheme="minorHAnsi"/>
                <w:b/>
                <w:bCs/>
                <w:i/>
                <w:iCs/>
                <w:sz w:val="24"/>
                <w:szCs w:val="24"/>
                <w:lang w:val="en-US"/>
              </w:rPr>
            </w:pPr>
            <w:r w:rsidRPr="0092608E">
              <w:rPr>
                <w:rFonts w:cstheme="minorHAnsi"/>
                <w:b/>
                <w:bCs/>
                <w:i/>
                <w:iCs/>
                <w:sz w:val="24"/>
                <w:szCs w:val="24"/>
              </w:rPr>
              <w:lastRenderedPageBreak/>
              <w:t>Livrables et délais</w:t>
            </w:r>
          </w:p>
        </w:tc>
        <w:tc>
          <w:tcPr>
            <w:tcW w:w="7796" w:type="dxa"/>
            <w:tcBorders>
              <w:top w:val="single" w:sz="6" w:space="0" w:color="auto"/>
              <w:left w:val="single" w:sz="6" w:space="0" w:color="auto"/>
              <w:bottom w:val="single" w:sz="6" w:space="0" w:color="auto"/>
              <w:right w:val="double" w:sz="6" w:space="0" w:color="auto"/>
            </w:tcBorders>
            <w:shd w:val="clear" w:color="auto" w:fill="auto"/>
          </w:tcPr>
          <w:p w14:paraId="42B6F9E0" w14:textId="292A6827" w:rsidR="004D40AD" w:rsidRDefault="007254F2" w:rsidP="004D40AD">
            <w:pPr>
              <w:spacing w:after="0" w:line="240" w:lineRule="auto"/>
              <w:rPr>
                <w:rFonts w:eastAsia="Times New Roman" w:cstheme="minorHAnsi"/>
              </w:rPr>
            </w:pPr>
            <w:r w:rsidRPr="007254F2">
              <w:rPr>
                <w:rFonts w:eastAsia="Times New Roman" w:cstheme="minorHAnsi"/>
              </w:rPr>
              <w:t>Au cours de la mission, le consultant aura fourni :</w:t>
            </w:r>
          </w:p>
          <w:p w14:paraId="6A276651" w14:textId="3973AC4A" w:rsidR="004D40AD" w:rsidRPr="004D40AD" w:rsidRDefault="004D40AD" w:rsidP="004D40AD">
            <w:pPr>
              <w:spacing w:after="0" w:line="240" w:lineRule="auto"/>
              <w:rPr>
                <w:rFonts w:eastAsia="Times New Roman" w:cstheme="minorHAnsi"/>
                <w:b/>
                <w:bCs/>
                <w:u w:val="single"/>
              </w:rPr>
            </w:pPr>
            <w:r w:rsidRPr="004D40AD">
              <w:rPr>
                <w:rFonts w:eastAsia="Times New Roman" w:cstheme="minorHAnsi"/>
                <w:b/>
                <w:bCs/>
                <w:u w:val="single"/>
              </w:rPr>
              <w:t>Livrables 2023</w:t>
            </w:r>
          </w:p>
          <w:p w14:paraId="2934A3C0" w14:textId="114CC6AB" w:rsidR="007254F2" w:rsidRPr="004D40AD" w:rsidRDefault="007254F2" w:rsidP="004D40AD">
            <w:pPr>
              <w:pStyle w:val="ListParagraph"/>
              <w:numPr>
                <w:ilvl w:val="0"/>
                <w:numId w:val="39"/>
              </w:numPr>
              <w:spacing w:after="0" w:line="240" w:lineRule="auto"/>
              <w:rPr>
                <w:rFonts w:eastAsia="Times New Roman" w:cstheme="minorHAnsi"/>
              </w:rPr>
            </w:pPr>
            <w:r w:rsidRPr="004D40AD">
              <w:rPr>
                <w:rFonts w:eastAsia="Times New Roman" w:cstheme="minorHAnsi"/>
              </w:rPr>
              <w:t xml:space="preserve">Une note méthodologique à valider par comité technique, détaillant : </w:t>
            </w:r>
          </w:p>
          <w:p w14:paraId="69FF7A30" w14:textId="77777777" w:rsidR="004D40AD" w:rsidRDefault="007254F2" w:rsidP="004D40AD">
            <w:pPr>
              <w:pStyle w:val="ListParagraph"/>
              <w:numPr>
                <w:ilvl w:val="1"/>
                <w:numId w:val="39"/>
              </w:numPr>
              <w:spacing w:after="0" w:line="240" w:lineRule="auto"/>
              <w:rPr>
                <w:rFonts w:eastAsia="Times New Roman" w:cstheme="minorHAnsi"/>
              </w:rPr>
            </w:pPr>
            <w:r w:rsidRPr="004D40AD">
              <w:rPr>
                <w:rFonts w:eastAsia="Times New Roman" w:cstheme="minorHAnsi"/>
              </w:rPr>
              <w:t xml:space="preserve">La démarche méthodologique à adopter afin de répondre aux objectifs de la mission </w:t>
            </w:r>
          </w:p>
          <w:p w14:paraId="1711E8C8" w14:textId="77777777" w:rsidR="004D40AD" w:rsidRDefault="007254F2" w:rsidP="004D40AD">
            <w:pPr>
              <w:pStyle w:val="ListParagraph"/>
              <w:numPr>
                <w:ilvl w:val="1"/>
                <w:numId w:val="39"/>
              </w:numPr>
              <w:spacing w:after="0" w:line="240" w:lineRule="auto"/>
              <w:rPr>
                <w:rFonts w:eastAsia="Times New Roman" w:cstheme="minorHAnsi"/>
              </w:rPr>
            </w:pPr>
            <w:r w:rsidRPr="004D40AD">
              <w:rPr>
                <w:rFonts w:eastAsia="Times New Roman" w:cstheme="minorHAnsi"/>
              </w:rPr>
              <w:t>L’organigramme de l’exécution des travaux</w:t>
            </w:r>
          </w:p>
          <w:p w14:paraId="43B16E7A" w14:textId="77777777" w:rsidR="004D40AD" w:rsidRPr="004D40AD" w:rsidRDefault="004D40AD" w:rsidP="004D40AD">
            <w:pPr>
              <w:pStyle w:val="ListParagraph"/>
              <w:numPr>
                <w:ilvl w:val="0"/>
                <w:numId w:val="39"/>
              </w:numPr>
              <w:spacing w:after="0" w:line="240" w:lineRule="auto"/>
            </w:pPr>
            <w:r w:rsidRPr="004D40AD">
              <w:rPr>
                <w:rFonts w:eastAsia="Times New Roman" w:cstheme="minorHAnsi"/>
              </w:rPr>
              <w:t>Rapport</w:t>
            </w:r>
            <w:r>
              <w:rPr>
                <w:rFonts w:eastAsia="Times New Roman" w:cstheme="minorHAnsi"/>
              </w:rPr>
              <w:t xml:space="preserve"> de la phase de préparation intégrant :</w:t>
            </w:r>
          </w:p>
          <w:p w14:paraId="4D0BA07A" w14:textId="4D106BBF" w:rsidR="004D40AD" w:rsidRDefault="004D40AD" w:rsidP="004D40AD">
            <w:pPr>
              <w:pStyle w:val="ListParagraph"/>
              <w:numPr>
                <w:ilvl w:val="1"/>
                <w:numId w:val="39"/>
              </w:numPr>
              <w:spacing w:after="0" w:line="240" w:lineRule="auto"/>
            </w:pPr>
            <w:r>
              <w:rPr>
                <w:rFonts w:eastAsia="Times New Roman" w:cstheme="minorHAnsi"/>
              </w:rPr>
              <w:t>L</w:t>
            </w:r>
            <w:r w:rsidRPr="004D40AD">
              <w:rPr>
                <w:rFonts w:eastAsia="Times New Roman" w:cstheme="minorHAnsi"/>
              </w:rPr>
              <w:t>’</w:t>
            </w:r>
            <w:r w:rsidRPr="007254F2">
              <w:t>analyse documentaire</w:t>
            </w:r>
          </w:p>
          <w:p w14:paraId="51C58BA7" w14:textId="77777777" w:rsidR="004D40AD" w:rsidRDefault="004D40AD" w:rsidP="004D40AD">
            <w:pPr>
              <w:pStyle w:val="ListParagraph"/>
              <w:numPr>
                <w:ilvl w:val="1"/>
                <w:numId w:val="39"/>
              </w:numPr>
              <w:spacing w:after="0" w:line="240" w:lineRule="auto"/>
            </w:pPr>
            <w:r>
              <w:rPr>
                <w:rFonts w:eastAsia="Times New Roman" w:cstheme="minorHAnsi"/>
              </w:rPr>
              <w:t>Les</w:t>
            </w:r>
            <w:r>
              <w:t xml:space="preserve"> objectifs spécifiques et le cadre conceptuel de l’évaluation</w:t>
            </w:r>
          </w:p>
          <w:p w14:paraId="0D2659BE" w14:textId="781CB194" w:rsidR="004D40AD" w:rsidRDefault="004D40AD" w:rsidP="004D40AD">
            <w:pPr>
              <w:pStyle w:val="ListParagraph"/>
              <w:numPr>
                <w:ilvl w:val="1"/>
                <w:numId w:val="39"/>
              </w:numPr>
              <w:spacing w:after="0" w:line="240" w:lineRule="auto"/>
            </w:pPr>
            <w:r>
              <w:t>Les méthodes préconisées pour l’évaluation et</w:t>
            </w:r>
            <w:r w:rsidRPr="007254F2">
              <w:t xml:space="preserve"> les outils spécifiques</w:t>
            </w:r>
          </w:p>
          <w:p w14:paraId="7FD562C3" w14:textId="39BBDD1D" w:rsidR="004D40AD" w:rsidRDefault="004D40AD" w:rsidP="004D40AD">
            <w:pPr>
              <w:pStyle w:val="ListParagraph"/>
              <w:numPr>
                <w:ilvl w:val="1"/>
                <w:numId w:val="39"/>
              </w:numPr>
              <w:spacing w:after="0" w:line="240" w:lineRule="auto"/>
            </w:pPr>
            <w:r>
              <w:t>L’</w:t>
            </w:r>
            <w:r w:rsidRPr="004D40AD">
              <w:t>estimation des éventuelles ressources nécessaires à mobiliser avec une spécification des besoins et termes de référence pour une phase de collecte de donnés sur terrain</w:t>
            </w:r>
          </w:p>
          <w:p w14:paraId="7569F033" w14:textId="41471C39" w:rsidR="004D40AD" w:rsidRDefault="004D40AD" w:rsidP="004D40AD">
            <w:pPr>
              <w:pStyle w:val="ListParagraph"/>
              <w:numPr>
                <w:ilvl w:val="0"/>
                <w:numId w:val="39"/>
              </w:numPr>
              <w:spacing w:after="0" w:line="240" w:lineRule="auto"/>
            </w:pPr>
            <w:r>
              <w:t>Plan préliminaire du rapport de l’évaluation et analyse du cadre politique, juridique et réglementaire autour du SSDMR en Tunisie</w:t>
            </w:r>
          </w:p>
          <w:p w14:paraId="78F46A73" w14:textId="53A4A567" w:rsidR="004D40AD" w:rsidRDefault="004D40AD" w:rsidP="004D40AD">
            <w:pPr>
              <w:spacing w:after="0" w:line="240" w:lineRule="auto"/>
            </w:pPr>
          </w:p>
          <w:p w14:paraId="6653CED3" w14:textId="47F497C9" w:rsidR="004D40AD" w:rsidRPr="004D40AD" w:rsidRDefault="004D40AD" w:rsidP="004D40AD">
            <w:pPr>
              <w:spacing w:after="0" w:line="240" w:lineRule="auto"/>
              <w:rPr>
                <w:rFonts w:eastAsia="Times New Roman" w:cstheme="minorHAnsi"/>
                <w:b/>
                <w:bCs/>
                <w:u w:val="single"/>
              </w:rPr>
            </w:pPr>
            <w:r w:rsidRPr="004D40AD">
              <w:rPr>
                <w:rFonts w:eastAsia="Times New Roman" w:cstheme="minorHAnsi"/>
                <w:b/>
                <w:bCs/>
                <w:u w:val="single"/>
              </w:rPr>
              <w:t xml:space="preserve">Livrables </w:t>
            </w:r>
            <w:r>
              <w:rPr>
                <w:rFonts w:eastAsia="Times New Roman" w:cstheme="minorHAnsi"/>
                <w:b/>
                <w:bCs/>
                <w:u w:val="single"/>
              </w:rPr>
              <w:t>2024</w:t>
            </w:r>
          </w:p>
          <w:p w14:paraId="2BF4CB66" w14:textId="2097E573" w:rsidR="004D40AD" w:rsidRDefault="004D40AD" w:rsidP="004D40AD">
            <w:pPr>
              <w:pStyle w:val="ListParagraph"/>
              <w:numPr>
                <w:ilvl w:val="0"/>
                <w:numId w:val="41"/>
              </w:numPr>
              <w:spacing w:after="0" w:line="240" w:lineRule="auto"/>
              <w:rPr>
                <w:rFonts w:eastAsia="Times New Roman" w:cstheme="minorHAnsi"/>
              </w:rPr>
            </w:pPr>
            <w:r>
              <w:rPr>
                <w:rFonts w:eastAsia="Times New Roman" w:cstheme="minorHAnsi"/>
              </w:rPr>
              <w:t>Données collectées sur terrain (base de données, transcription des entretiens, etc.)</w:t>
            </w:r>
          </w:p>
          <w:p w14:paraId="4D58D3ED" w14:textId="0AD20B96" w:rsidR="00FF3CAF" w:rsidRDefault="004D40AD" w:rsidP="00FF3CAF">
            <w:pPr>
              <w:pStyle w:val="ListParagraph"/>
              <w:numPr>
                <w:ilvl w:val="0"/>
                <w:numId w:val="41"/>
              </w:numPr>
              <w:spacing w:after="0" w:line="240" w:lineRule="auto"/>
              <w:rPr>
                <w:rFonts w:eastAsia="Times New Roman" w:cstheme="minorHAnsi"/>
              </w:rPr>
            </w:pPr>
            <w:r w:rsidRPr="004D40AD">
              <w:rPr>
                <w:rFonts w:eastAsia="Times New Roman" w:cstheme="minorHAnsi"/>
              </w:rPr>
              <w:t>Rapport pré</w:t>
            </w:r>
            <w:r>
              <w:rPr>
                <w:rFonts w:eastAsia="Times New Roman" w:cstheme="minorHAnsi"/>
              </w:rPr>
              <w:t xml:space="preserve">liminaire de l’évaluation </w:t>
            </w:r>
            <w:r w:rsidR="00FF3CAF">
              <w:rPr>
                <w:rFonts w:eastAsia="Times New Roman" w:cstheme="minorHAnsi"/>
              </w:rPr>
              <w:t xml:space="preserve">conformément au plan établi et détaillant : </w:t>
            </w:r>
          </w:p>
          <w:p w14:paraId="6261EE7B" w14:textId="6FDD712D" w:rsidR="00FF3CAF" w:rsidRDefault="00FF3CAF" w:rsidP="00FF3CAF">
            <w:pPr>
              <w:pStyle w:val="ListParagraph"/>
              <w:numPr>
                <w:ilvl w:val="0"/>
                <w:numId w:val="42"/>
              </w:numPr>
              <w:spacing w:after="0" w:line="240" w:lineRule="auto"/>
              <w:rPr>
                <w:rFonts w:eastAsia="Times New Roman" w:cstheme="minorHAnsi"/>
              </w:rPr>
            </w:pPr>
            <w:r>
              <w:rPr>
                <w:rFonts w:eastAsia="Times New Roman" w:cstheme="minorHAnsi"/>
              </w:rPr>
              <w:t xml:space="preserve">Les </w:t>
            </w:r>
            <w:r w:rsidR="004D40AD" w:rsidRPr="004D40AD">
              <w:rPr>
                <w:rFonts w:eastAsia="Times New Roman" w:cstheme="minorHAnsi"/>
              </w:rPr>
              <w:t xml:space="preserve">résultats </w:t>
            </w:r>
            <w:r w:rsidR="004D40AD">
              <w:rPr>
                <w:rFonts w:eastAsia="Times New Roman" w:cstheme="minorHAnsi"/>
              </w:rPr>
              <w:t xml:space="preserve">préliminaires </w:t>
            </w:r>
            <w:r w:rsidR="004D40AD" w:rsidRPr="004D40AD">
              <w:rPr>
                <w:rFonts w:eastAsia="Times New Roman" w:cstheme="minorHAnsi"/>
              </w:rPr>
              <w:t>de l’évaluation</w:t>
            </w:r>
            <w:r>
              <w:rPr>
                <w:rFonts w:eastAsia="Times New Roman" w:cstheme="minorHAnsi"/>
              </w:rPr>
              <w:t xml:space="preserve"> en réponse aux objectifs visés</w:t>
            </w:r>
          </w:p>
          <w:p w14:paraId="4473AEB2" w14:textId="1ED6BD2C" w:rsidR="004D40AD" w:rsidRDefault="00FF3CAF" w:rsidP="00FF3CAF">
            <w:pPr>
              <w:pStyle w:val="ListParagraph"/>
              <w:numPr>
                <w:ilvl w:val="0"/>
                <w:numId w:val="42"/>
              </w:numPr>
              <w:spacing w:after="0" w:line="240" w:lineRule="auto"/>
              <w:rPr>
                <w:rFonts w:eastAsia="Times New Roman" w:cstheme="minorHAnsi"/>
              </w:rPr>
            </w:pPr>
            <w:r>
              <w:rPr>
                <w:rFonts w:eastAsia="Times New Roman" w:cstheme="minorHAnsi"/>
              </w:rPr>
              <w:t>Les</w:t>
            </w:r>
            <w:r w:rsidR="004D40AD" w:rsidRPr="004D40AD">
              <w:rPr>
                <w:rFonts w:eastAsia="Times New Roman" w:cstheme="minorHAnsi"/>
              </w:rPr>
              <w:t xml:space="preserve"> réflexions stratégiques</w:t>
            </w:r>
            <w:r>
              <w:rPr>
                <w:rFonts w:eastAsia="Times New Roman" w:cstheme="minorHAnsi"/>
              </w:rPr>
              <w:t xml:space="preserve"> </w:t>
            </w:r>
            <w:r w:rsidRPr="00FF3CAF">
              <w:rPr>
                <w:rFonts w:eastAsia="Times New Roman" w:cstheme="minorHAnsi"/>
              </w:rPr>
              <w:t>sur les pistes les plus pertinentes pour le renforcement du SSDMR au niveau national et infranational</w:t>
            </w:r>
          </w:p>
          <w:p w14:paraId="0CB32D8D" w14:textId="5900C29E" w:rsidR="004D40AD" w:rsidRPr="004D40AD" w:rsidRDefault="004D40AD" w:rsidP="004D40AD">
            <w:pPr>
              <w:pStyle w:val="ListParagraph"/>
              <w:numPr>
                <w:ilvl w:val="0"/>
                <w:numId w:val="41"/>
              </w:numPr>
              <w:spacing w:after="0" w:line="240" w:lineRule="auto"/>
              <w:rPr>
                <w:rFonts w:eastAsia="Times New Roman" w:cstheme="minorHAnsi"/>
              </w:rPr>
            </w:pPr>
            <w:r>
              <w:rPr>
                <w:rFonts w:eastAsia="Times New Roman" w:cstheme="minorHAnsi"/>
              </w:rPr>
              <w:t>Rapport final de l’évaluation suite à la concertation avec les parties prenantes</w:t>
            </w:r>
          </w:p>
        </w:tc>
      </w:tr>
      <w:tr w:rsidR="00B257F4" w:rsidRPr="0092608E" w14:paraId="05DAFCF0" w14:textId="77777777" w:rsidTr="00A25173">
        <w:tblPrEx>
          <w:tblCellMar>
            <w:left w:w="148" w:type="dxa"/>
            <w:right w:w="148" w:type="dxa"/>
          </w:tblCellMar>
        </w:tblPrEx>
        <w:tc>
          <w:tcPr>
            <w:tcW w:w="2178" w:type="dxa"/>
            <w:tcBorders>
              <w:top w:val="single" w:sz="6" w:space="0" w:color="auto"/>
              <w:left w:val="double" w:sz="6" w:space="0" w:color="auto"/>
              <w:bottom w:val="single" w:sz="6" w:space="0" w:color="auto"/>
            </w:tcBorders>
            <w:shd w:val="clear" w:color="auto" w:fill="auto"/>
          </w:tcPr>
          <w:p w14:paraId="532F56E7" w14:textId="6F4A3AF4" w:rsidR="00B257F4" w:rsidRPr="0092608E" w:rsidRDefault="003B01C8" w:rsidP="00B257F4">
            <w:pPr>
              <w:tabs>
                <w:tab w:val="left" w:pos="-720"/>
              </w:tabs>
              <w:suppressAutoHyphens/>
              <w:spacing w:before="40" w:after="54" w:line="240" w:lineRule="auto"/>
              <w:jc w:val="both"/>
              <w:rPr>
                <w:rFonts w:cstheme="minorHAnsi"/>
                <w:b/>
                <w:bCs/>
                <w:i/>
                <w:iCs/>
                <w:sz w:val="24"/>
                <w:szCs w:val="24"/>
                <w:lang w:val="en-US"/>
              </w:rPr>
            </w:pPr>
            <w:r w:rsidRPr="0092608E">
              <w:rPr>
                <w:rFonts w:cstheme="minorHAnsi"/>
                <w:b/>
                <w:bCs/>
                <w:i/>
                <w:iCs/>
                <w:sz w:val="24"/>
                <w:szCs w:val="24"/>
              </w:rPr>
              <w:t>Suivi/monitoring</w:t>
            </w:r>
          </w:p>
        </w:tc>
        <w:tc>
          <w:tcPr>
            <w:tcW w:w="7796" w:type="dxa"/>
            <w:tcBorders>
              <w:top w:val="single" w:sz="6" w:space="0" w:color="auto"/>
              <w:left w:val="single" w:sz="6" w:space="0" w:color="auto"/>
              <w:bottom w:val="single" w:sz="6" w:space="0" w:color="auto"/>
              <w:right w:val="double" w:sz="6" w:space="0" w:color="auto"/>
            </w:tcBorders>
            <w:shd w:val="clear" w:color="auto" w:fill="auto"/>
          </w:tcPr>
          <w:p w14:paraId="5C1EBEE9" w14:textId="5979A0B7" w:rsidR="00256B23" w:rsidRPr="00256B23" w:rsidRDefault="00256B23" w:rsidP="00256B23">
            <w:pPr>
              <w:pStyle w:val="ListParagraph"/>
              <w:numPr>
                <w:ilvl w:val="0"/>
                <w:numId w:val="36"/>
              </w:numPr>
              <w:tabs>
                <w:tab w:val="left" w:pos="-720"/>
              </w:tabs>
              <w:suppressAutoHyphens/>
              <w:spacing w:before="40" w:after="54" w:line="240" w:lineRule="auto"/>
              <w:ind w:left="280"/>
              <w:rPr>
                <w:rFonts w:eastAsia="Times New Roman" w:cstheme="minorHAnsi"/>
              </w:rPr>
            </w:pPr>
            <w:r w:rsidRPr="00256B23">
              <w:rPr>
                <w:rFonts w:eastAsia="Times New Roman" w:cstheme="minorHAnsi"/>
              </w:rPr>
              <w:t>La personne recrutée travaillera sous la supervision globale du comité de pilotage de l’a</w:t>
            </w:r>
            <w:r>
              <w:rPr>
                <w:rFonts w:eastAsia="Times New Roman" w:cstheme="minorHAnsi"/>
              </w:rPr>
              <w:t>ctivité co-présidé par UNFPA-MS dont le chef de file est la DSSB ;</w:t>
            </w:r>
            <w:r w:rsidRPr="00256B23">
              <w:rPr>
                <w:rFonts w:eastAsia="Times New Roman" w:cstheme="minorHAnsi"/>
              </w:rPr>
              <w:t xml:space="preserve"> </w:t>
            </w:r>
          </w:p>
          <w:p w14:paraId="228ED3A0" w14:textId="77777777" w:rsidR="00256B23" w:rsidRPr="00256B23" w:rsidRDefault="00256B23" w:rsidP="00256B23">
            <w:pPr>
              <w:pStyle w:val="ListParagraph"/>
              <w:numPr>
                <w:ilvl w:val="0"/>
                <w:numId w:val="35"/>
              </w:numPr>
              <w:tabs>
                <w:tab w:val="left" w:pos="-720"/>
              </w:tabs>
              <w:suppressAutoHyphens/>
              <w:spacing w:before="40" w:after="54" w:line="240" w:lineRule="auto"/>
              <w:ind w:left="280"/>
              <w:rPr>
                <w:rFonts w:eastAsia="Times New Roman" w:cstheme="minorHAnsi"/>
              </w:rPr>
            </w:pPr>
            <w:r w:rsidRPr="00256B23">
              <w:rPr>
                <w:rFonts w:eastAsia="Times New Roman" w:cstheme="minorHAnsi"/>
              </w:rPr>
              <w:t>Pour les questions contractuelles, elle fera rapport à l’UNFPA Tunisie ;</w:t>
            </w:r>
          </w:p>
          <w:p w14:paraId="5C5978F1" w14:textId="093A9D0F" w:rsidR="00256B23" w:rsidRPr="00256B23" w:rsidRDefault="00256B23" w:rsidP="00256B23">
            <w:pPr>
              <w:pStyle w:val="ListParagraph"/>
              <w:numPr>
                <w:ilvl w:val="0"/>
                <w:numId w:val="35"/>
              </w:numPr>
              <w:tabs>
                <w:tab w:val="left" w:pos="-720"/>
              </w:tabs>
              <w:suppressAutoHyphens/>
              <w:spacing w:before="40" w:after="54" w:line="240" w:lineRule="auto"/>
              <w:ind w:left="280"/>
              <w:rPr>
                <w:rFonts w:eastAsia="Times New Roman" w:cstheme="minorHAnsi"/>
              </w:rPr>
            </w:pPr>
            <w:r w:rsidRPr="00256B23">
              <w:rPr>
                <w:rFonts w:eastAsia="Times New Roman" w:cstheme="minorHAnsi"/>
              </w:rPr>
              <w:t>Elle travaillera en étroite collaboration a</w:t>
            </w:r>
            <w:r>
              <w:rPr>
                <w:rFonts w:eastAsia="Times New Roman" w:cstheme="minorHAnsi"/>
              </w:rPr>
              <w:t xml:space="preserve">vec le personnel concerné du Ministère de la Santé, de </w:t>
            </w:r>
            <w:r w:rsidRPr="00256B23">
              <w:rPr>
                <w:rFonts w:eastAsia="Times New Roman" w:cstheme="minorHAnsi"/>
              </w:rPr>
              <w:t>l’UNFPA</w:t>
            </w:r>
            <w:r>
              <w:rPr>
                <w:rFonts w:eastAsia="Times New Roman" w:cstheme="minorHAnsi"/>
              </w:rPr>
              <w:t>,</w:t>
            </w:r>
            <w:r w:rsidRPr="00256B23">
              <w:rPr>
                <w:rFonts w:eastAsia="Times New Roman" w:cstheme="minorHAnsi"/>
              </w:rPr>
              <w:t xml:space="preserve"> ainsi que d'autres parties prenantes et partenaires nationaux ;</w:t>
            </w:r>
          </w:p>
          <w:p w14:paraId="63711FBA" w14:textId="5264FE08" w:rsidR="00256B23" w:rsidRPr="00256B23" w:rsidRDefault="00256B23" w:rsidP="00256B23">
            <w:pPr>
              <w:pStyle w:val="ListParagraph"/>
              <w:numPr>
                <w:ilvl w:val="0"/>
                <w:numId w:val="35"/>
              </w:numPr>
              <w:tabs>
                <w:tab w:val="left" w:pos="-720"/>
              </w:tabs>
              <w:suppressAutoHyphens/>
              <w:spacing w:before="40" w:after="54" w:line="240" w:lineRule="auto"/>
              <w:ind w:left="280"/>
              <w:rPr>
                <w:rFonts w:eastAsia="Times New Roman" w:cstheme="minorHAnsi"/>
              </w:rPr>
            </w:pPr>
            <w:r w:rsidRPr="00256B23">
              <w:rPr>
                <w:rFonts w:eastAsia="Times New Roman" w:cstheme="minorHAnsi"/>
              </w:rPr>
              <w:t>Elle est tenue à une obligation de confidentialité, et ne doit publier ou divulguer aucune information portée à sa connaissance dans le cadre du travail sollicité, à aucune personne non autorisée et sans le consentement écrit préalable de l</w:t>
            </w:r>
            <w:r>
              <w:rPr>
                <w:rFonts w:eastAsia="Times New Roman" w:cstheme="minorHAnsi"/>
              </w:rPr>
              <w:t>’UNFPA et de son partenaire le MS</w:t>
            </w:r>
            <w:r w:rsidRPr="00256B23">
              <w:rPr>
                <w:rFonts w:eastAsia="Times New Roman" w:cstheme="minorHAnsi"/>
              </w:rPr>
              <w:t xml:space="preserve"> ;</w:t>
            </w:r>
          </w:p>
        </w:tc>
      </w:tr>
      <w:tr w:rsidR="00B257F4" w:rsidRPr="0092608E" w14:paraId="16476313" w14:textId="77777777" w:rsidTr="00A25173">
        <w:tblPrEx>
          <w:tblCellMar>
            <w:left w:w="148" w:type="dxa"/>
            <w:right w:w="148" w:type="dxa"/>
          </w:tblCellMar>
        </w:tblPrEx>
        <w:tc>
          <w:tcPr>
            <w:tcW w:w="2178" w:type="dxa"/>
            <w:tcBorders>
              <w:top w:val="single" w:sz="6" w:space="0" w:color="auto"/>
              <w:left w:val="double" w:sz="6" w:space="0" w:color="auto"/>
              <w:bottom w:val="single" w:sz="6" w:space="0" w:color="auto"/>
            </w:tcBorders>
            <w:shd w:val="clear" w:color="auto" w:fill="auto"/>
          </w:tcPr>
          <w:p w14:paraId="3D2638E9" w14:textId="71B0BD39" w:rsidR="00B257F4" w:rsidRPr="0092608E" w:rsidRDefault="003B01C8" w:rsidP="00B257F4">
            <w:pPr>
              <w:tabs>
                <w:tab w:val="left" w:pos="-720"/>
              </w:tabs>
              <w:suppressAutoHyphens/>
              <w:spacing w:before="40" w:after="54" w:line="240" w:lineRule="auto"/>
              <w:jc w:val="both"/>
              <w:rPr>
                <w:rFonts w:cstheme="minorHAnsi"/>
                <w:b/>
                <w:bCs/>
                <w:i/>
                <w:iCs/>
                <w:sz w:val="24"/>
                <w:szCs w:val="24"/>
              </w:rPr>
            </w:pPr>
            <w:r w:rsidRPr="0092608E">
              <w:rPr>
                <w:rFonts w:cstheme="minorHAnsi"/>
                <w:b/>
                <w:bCs/>
                <w:i/>
                <w:iCs/>
                <w:sz w:val="24"/>
                <w:szCs w:val="24"/>
              </w:rPr>
              <w:t>Supervision</w:t>
            </w:r>
          </w:p>
        </w:tc>
        <w:tc>
          <w:tcPr>
            <w:tcW w:w="7796" w:type="dxa"/>
            <w:tcBorders>
              <w:top w:val="single" w:sz="6" w:space="0" w:color="auto"/>
              <w:left w:val="single" w:sz="6" w:space="0" w:color="auto"/>
              <w:bottom w:val="single" w:sz="6" w:space="0" w:color="auto"/>
              <w:right w:val="double" w:sz="6" w:space="0" w:color="auto"/>
            </w:tcBorders>
            <w:shd w:val="clear" w:color="auto" w:fill="auto"/>
          </w:tcPr>
          <w:p w14:paraId="7E62258C" w14:textId="2F908A7B" w:rsidR="00B257F4" w:rsidRPr="0092608E" w:rsidRDefault="00535F28" w:rsidP="00127406">
            <w:pPr>
              <w:tabs>
                <w:tab w:val="left" w:pos="-720"/>
              </w:tabs>
              <w:suppressAutoHyphens/>
              <w:spacing w:before="40" w:after="54" w:line="240" w:lineRule="auto"/>
              <w:jc w:val="both"/>
              <w:rPr>
                <w:rFonts w:eastAsia="Times New Roman" w:cstheme="minorHAnsi"/>
              </w:rPr>
            </w:pPr>
            <w:r w:rsidRPr="0092608E">
              <w:rPr>
                <w:rFonts w:eastAsia="Times New Roman" w:cstheme="minorHAnsi"/>
              </w:rPr>
              <w:t>Chargée du Programme SSR/P&amp;D à l’UNFPA Tunisie, en collaboration avec</w:t>
            </w:r>
            <w:r w:rsidR="00256B23">
              <w:rPr>
                <w:rFonts w:eastAsia="Times New Roman" w:cstheme="minorHAnsi"/>
              </w:rPr>
              <w:t xml:space="preserve"> le MS-</w:t>
            </w:r>
            <w:r w:rsidR="000A09C5" w:rsidRPr="0092608E">
              <w:rPr>
                <w:rFonts w:eastAsia="Times New Roman" w:cstheme="minorHAnsi"/>
              </w:rPr>
              <w:t>DDSB</w:t>
            </w:r>
            <w:r w:rsidRPr="0092608E">
              <w:rPr>
                <w:rFonts w:eastAsia="Times New Roman" w:cstheme="minorHAnsi"/>
              </w:rPr>
              <w:t xml:space="preserve"> </w:t>
            </w:r>
          </w:p>
        </w:tc>
      </w:tr>
      <w:tr w:rsidR="00127406" w:rsidRPr="0092608E" w14:paraId="410AD28F" w14:textId="77777777" w:rsidTr="000A09C5">
        <w:tblPrEx>
          <w:tblCellMar>
            <w:left w:w="148" w:type="dxa"/>
            <w:right w:w="148" w:type="dxa"/>
          </w:tblCellMar>
        </w:tblPrEx>
        <w:trPr>
          <w:trHeight w:val="4210"/>
        </w:trPr>
        <w:tc>
          <w:tcPr>
            <w:tcW w:w="2178" w:type="dxa"/>
            <w:tcBorders>
              <w:top w:val="single" w:sz="6" w:space="0" w:color="auto"/>
              <w:left w:val="double" w:sz="6" w:space="0" w:color="auto"/>
              <w:bottom w:val="single" w:sz="6" w:space="0" w:color="auto"/>
            </w:tcBorders>
            <w:shd w:val="clear" w:color="auto" w:fill="auto"/>
          </w:tcPr>
          <w:p w14:paraId="1BD7A93E" w14:textId="012D0C99" w:rsidR="00127406" w:rsidRPr="0092608E" w:rsidRDefault="003B01C8" w:rsidP="00127406">
            <w:pPr>
              <w:tabs>
                <w:tab w:val="left" w:pos="-720"/>
              </w:tabs>
              <w:suppressAutoHyphens/>
              <w:spacing w:before="40" w:after="54" w:line="240" w:lineRule="auto"/>
              <w:jc w:val="both"/>
              <w:rPr>
                <w:rFonts w:eastAsia="Times New Roman" w:cstheme="minorHAnsi"/>
              </w:rPr>
            </w:pPr>
            <w:r w:rsidRPr="0092608E">
              <w:rPr>
                <w:rFonts w:cstheme="minorHAnsi"/>
                <w:b/>
                <w:bCs/>
                <w:i/>
                <w:iCs/>
                <w:sz w:val="24"/>
                <w:szCs w:val="24"/>
              </w:rPr>
              <w:lastRenderedPageBreak/>
              <w:t>Qualifications et expérience</w:t>
            </w:r>
          </w:p>
        </w:tc>
        <w:tc>
          <w:tcPr>
            <w:tcW w:w="7796" w:type="dxa"/>
            <w:tcBorders>
              <w:top w:val="single" w:sz="6" w:space="0" w:color="auto"/>
              <w:left w:val="single" w:sz="6" w:space="0" w:color="auto"/>
              <w:bottom w:val="single" w:sz="6" w:space="0" w:color="auto"/>
              <w:right w:val="double" w:sz="6" w:space="0" w:color="auto"/>
            </w:tcBorders>
            <w:shd w:val="clear" w:color="auto" w:fill="auto"/>
          </w:tcPr>
          <w:p w14:paraId="79796C2D" w14:textId="608010A1" w:rsidR="00256B23" w:rsidRPr="00256B23" w:rsidRDefault="00256B23" w:rsidP="00256B23">
            <w:pPr>
              <w:tabs>
                <w:tab w:val="left" w:pos="1335"/>
              </w:tabs>
              <w:spacing w:after="0" w:line="240" w:lineRule="auto"/>
              <w:rPr>
                <w:rFonts w:cstheme="minorHAnsi"/>
                <w:b/>
                <w:bCs/>
              </w:rPr>
            </w:pPr>
            <w:r w:rsidRPr="00256B23">
              <w:rPr>
                <w:rFonts w:cstheme="minorHAnsi"/>
                <w:b/>
                <w:bCs/>
              </w:rPr>
              <w:t>Education</w:t>
            </w:r>
            <w:r w:rsidR="004D40AD">
              <w:rPr>
                <w:rFonts w:cstheme="minorHAnsi"/>
                <w:b/>
                <w:bCs/>
              </w:rPr>
              <w:t> :</w:t>
            </w:r>
          </w:p>
          <w:p w14:paraId="368874BE" w14:textId="041A427B" w:rsidR="00F30699" w:rsidRDefault="00256B23" w:rsidP="00256B23">
            <w:pPr>
              <w:pStyle w:val="ListParagraph"/>
              <w:numPr>
                <w:ilvl w:val="0"/>
                <w:numId w:val="37"/>
              </w:numPr>
              <w:tabs>
                <w:tab w:val="left" w:pos="1335"/>
              </w:tabs>
              <w:spacing w:after="0" w:line="240" w:lineRule="auto"/>
              <w:rPr>
                <w:rFonts w:cstheme="minorHAnsi"/>
              </w:rPr>
            </w:pPr>
            <w:r>
              <w:rPr>
                <w:rFonts w:cstheme="minorHAnsi"/>
              </w:rPr>
              <w:t>S</w:t>
            </w:r>
            <w:r w:rsidR="00F30699" w:rsidRPr="0092608E">
              <w:rPr>
                <w:rFonts w:cstheme="minorHAnsi"/>
              </w:rPr>
              <w:t>anté publique,</w:t>
            </w:r>
            <w:r>
              <w:rPr>
                <w:rFonts w:cstheme="minorHAnsi"/>
              </w:rPr>
              <w:t xml:space="preserve"> politique de la santé,</w:t>
            </w:r>
            <w:r w:rsidR="00F30699" w:rsidRPr="0092608E">
              <w:rPr>
                <w:rFonts w:cstheme="minorHAnsi"/>
              </w:rPr>
              <w:t xml:space="preserve"> épidémiologie</w:t>
            </w:r>
            <w:r>
              <w:rPr>
                <w:rFonts w:cstheme="minorHAnsi"/>
              </w:rPr>
              <w:t>, sciences humaines et sociales, sciences de l’évaluation</w:t>
            </w:r>
            <w:r w:rsidR="00F30699" w:rsidRPr="0092608E">
              <w:rPr>
                <w:rFonts w:cstheme="minorHAnsi"/>
              </w:rPr>
              <w:t xml:space="preserve"> ou un domaine pertinent au sujet de la consultation</w:t>
            </w:r>
          </w:p>
          <w:p w14:paraId="4B9D7A97" w14:textId="45DFCDFE" w:rsidR="00256B23" w:rsidRPr="004D40AD" w:rsidRDefault="00256B23" w:rsidP="004D40AD">
            <w:pPr>
              <w:pStyle w:val="ListParagraph"/>
              <w:numPr>
                <w:ilvl w:val="0"/>
                <w:numId w:val="37"/>
              </w:numPr>
              <w:tabs>
                <w:tab w:val="left" w:pos="1335"/>
              </w:tabs>
              <w:spacing w:after="0" w:line="240" w:lineRule="auto"/>
              <w:rPr>
                <w:rFonts w:cstheme="minorHAnsi"/>
              </w:rPr>
            </w:pPr>
            <w:r>
              <w:rPr>
                <w:rFonts w:cstheme="minorHAnsi"/>
              </w:rPr>
              <w:t xml:space="preserve">Souhaité : Doctorat </w:t>
            </w:r>
            <w:r w:rsidR="004D40AD">
              <w:rPr>
                <w:rFonts w:cstheme="minorHAnsi"/>
              </w:rPr>
              <w:t xml:space="preserve">ou diplôme universitaire avancé dans les </w:t>
            </w:r>
            <w:r w:rsidR="004D40AD" w:rsidRPr="0092608E">
              <w:rPr>
                <w:rFonts w:cstheme="minorHAnsi"/>
              </w:rPr>
              <w:t>domaine</w:t>
            </w:r>
            <w:r w:rsidR="004D40AD">
              <w:rPr>
                <w:rFonts w:cstheme="minorHAnsi"/>
              </w:rPr>
              <w:t>s</w:t>
            </w:r>
            <w:r w:rsidR="004D40AD" w:rsidRPr="0092608E">
              <w:rPr>
                <w:rFonts w:cstheme="minorHAnsi"/>
              </w:rPr>
              <w:t xml:space="preserve"> pertinent</w:t>
            </w:r>
            <w:r w:rsidR="004D40AD">
              <w:rPr>
                <w:rFonts w:cstheme="minorHAnsi"/>
              </w:rPr>
              <w:t>s</w:t>
            </w:r>
            <w:r w:rsidR="004D40AD" w:rsidRPr="0092608E">
              <w:rPr>
                <w:rFonts w:cstheme="minorHAnsi"/>
              </w:rPr>
              <w:t xml:space="preserve"> au sujet de la consultation</w:t>
            </w:r>
          </w:p>
          <w:p w14:paraId="4F100C81" w14:textId="37792DBD" w:rsidR="00256B23" w:rsidRPr="004D40AD" w:rsidRDefault="00256B23" w:rsidP="00256B23">
            <w:pPr>
              <w:tabs>
                <w:tab w:val="left" w:pos="1335"/>
              </w:tabs>
              <w:spacing w:after="0" w:line="240" w:lineRule="auto"/>
              <w:rPr>
                <w:rFonts w:cstheme="minorHAnsi"/>
                <w:b/>
                <w:bCs/>
              </w:rPr>
            </w:pPr>
            <w:r w:rsidRPr="004D40AD">
              <w:rPr>
                <w:rFonts w:cstheme="minorHAnsi"/>
                <w:b/>
                <w:bCs/>
              </w:rPr>
              <w:t>Expérience</w:t>
            </w:r>
            <w:r w:rsidR="004D40AD">
              <w:rPr>
                <w:rFonts w:cstheme="minorHAnsi"/>
                <w:b/>
                <w:bCs/>
              </w:rPr>
              <w:t> :</w:t>
            </w:r>
          </w:p>
          <w:p w14:paraId="7A7B4CD7" w14:textId="469ED2D4" w:rsidR="000A09C5" w:rsidRPr="0092608E" w:rsidRDefault="004D40AD" w:rsidP="004D40AD">
            <w:pPr>
              <w:pStyle w:val="ListParagraph"/>
              <w:numPr>
                <w:ilvl w:val="0"/>
                <w:numId w:val="37"/>
              </w:numPr>
              <w:tabs>
                <w:tab w:val="left" w:pos="1335"/>
              </w:tabs>
              <w:spacing w:after="0" w:line="240" w:lineRule="auto"/>
              <w:rPr>
                <w:rFonts w:cstheme="minorHAnsi"/>
              </w:rPr>
            </w:pPr>
            <w:r>
              <w:rPr>
                <w:rFonts w:cstheme="minorHAnsi"/>
              </w:rPr>
              <w:t>Minimum 15 à 20 ans d’expérience pertinente</w:t>
            </w:r>
            <w:r w:rsidR="000A09C5" w:rsidRPr="0092608E">
              <w:rPr>
                <w:rFonts w:cstheme="minorHAnsi"/>
              </w:rPr>
              <w:t xml:space="preserve"> dans les projets d’évaluation et de renforcement</w:t>
            </w:r>
            <w:r>
              <w:rPr>
                <w:rFonts w:cstheme="minorHAnsi"/>
              </w:rPr>
              <w:t xml:space="preserve"> du système de santé (évaluation de programmes nationaux, élaboration de stratégies et plan nationaux, etc.)</w:t>
            </w:r>
            <w:r w:rsidR="000A09C5" w:rsidRPr="0092608E">
              <w:rPr>
                <w:rFonts w:cstheme="minorHAnsi"/>
              </w:rPr>
              <w:t xml:space="preserve"> notamment liés à la SSR / santé maternelle et néonatale</w:t>
            </w:r>
          </w:p>
          <w:p w14:paraId="0B643D05" w14:textId="56CCBF77" w:rsidR="004D40AD" w:rsidRPr="004D40AD" w:rsidRDefault="004D40AD" w:rsidP="004D40AD">
            <w:pPr>
              <w:pStyle w:val="ListParagraph"/>
              <w:numPr>
                <w:ilvl w:val="0"/>
                <w:numId w:val="37"/>
              </w:numPr>
              <w:tabs>
                <w:tab w:val="left" w:pos="1335"/>
              </w:tabs>
              <w:spacing w:after="0" w:line="240" w:lineRule="auto"/>
              <w:rPr>
                <w:rFonts w:cstheme="minorHAnsi"/>
              </w:rPr>
            </w:pPr>
            <w:r w:rsidRPr="0092608E">
              <w:rPr>
                <w:rFonts w:cstheme="minorHAnsi"/>
              </w:rPr>
              <w:t>Fortes capacités d’analyse critiqu</w:t>
            </w:r>
            <w:r>
              <w:rPr>
                <w:rFonts w:cstheme="minorHAnsi"/>
              </w:rPr>
              <w:t xml:space="preserve">e, de réflexion stratégique, </w:t>
            </w:r>
            <w:r w:rsidRPr="0092608E">
              <w:rPr>
                <w:rFonts w:cstheme="minorHAnsi"/>
              </w:rPr>
              <w:t xml:space="preserve">de conseil </w:t>
            </w:r>
            <w:r>
              <w:rPr>
                <w:rFonts w:cstheme="minorHAnsi"/>
              </w:rPr>
              <w:t xml:space="preserve">et d’accompagnement </w:t>
            </w:r>
            <w:r w:rsidRPr="0092608E">
              <w:rPr>
                <w:rFonts w:cstheme="minorHAnsi"/>
              </w:rPr>
              <w:t>pour le renforcement de systèmes de santé</w:t>
            </w:r>
          </w:p>
          <w:p w14:paraId="7853CCEB" w14:textId="0CD9677F" w:rsidR="00F30699" w:rsidRPr="0092608E" w:rsidRDefault="00F30699" w:rsidP="00256B23">
            <w:pPr>
              <w:pStyle w:val="ListParagraph"/>
              <w:numPr>
                <w:ilvl w:val="0"/>
                <w:numId w:val="37"/>
              </w:numPr>
              <w:tabs>
                <w:tab w:val="left" w:pos="1335"/>
              </w:tabs>
              <w:spacing w:after="0" w:line="240" w:lineRule="auto"/>
              <w:rPr>
                <w:rFonts w:cstheme="minorHAnsi"/>
              </w:rPr>
            </w:pPr>
            <w:r w:rsidRPr="0092608E">
              <w:rPr>
                <w:rFonts w:cstheme="minorHAnsi"/>
              </w:rPr>
              <w:t>Connaissances approfondies de l’organisation du système de santé tunisien, notamment des politiques, stratégies, et programmes nationaux en matière de SSR et de santé maternelle et néonatale</w:t>
            </w:r>
            <w:r w:rsidR="000A09C5" w:rsidRPr="0092608E">
              <w:rPr>
                <w:rFonts w:cstheme="minorHAnsi"/>
              </w:rPr>
              <w:t>, et de l’organisation de l’offre de services y liée</w:t>
            </w:r>
          </w:p>
          <w:p w14:paraId="77245297" w14:textId="7AF9F62E" w:rsidR="00F30699" w:rsidRPr="0092608E" w:rsidRDefault="00F30699" w:rsidP="00256B23">
            <w:pPr>
              <w:pStyle w:val="ListParagraph"/>
              <w:numPr>
                <w:ilvl w:val="0"/>
                <w:numId w:val="37"/>
              </w:numPr>
              <w:tabs>
                <w:tab w:val="left" w:pos="1335"/>
              </w:tabs>
              <w:spacing w:after="0" w:line="240" w:lineRule="auto"/>
              <w:rPr>
                <w:rFonts w:cstheme="minorHAnsi"/>
              </w:rPr>
            </w:pPr>
            <w:r w:rsidRPr="0092608E">
              <w:rPr>
                <w:rFonts w:cstheme="minorHAnsi"/>
              </w:rPr>
              <w:t>Connaissances avérées du système de s</w:t>
            </w:r>
            <w:r w:rsidR="000A09C5" w:rsidRPr="0092608E">
              <w:rPr>
                <w:rFonts w:cstheme="minorHAnsi"/>
              </w:rPr>
              <w:t xml:space="preserve">urveillance des décès maternels et du système d’information sur les causes de décès faisant partie du système d’enregistrement des faits et statistiques de l’état civil </w:t>
            </w:r>
            <w:r w:rsidR="004D40AD">
              <w:rPr>
                <w:rFonts w:cstheme="minorHAnsi"/>
              </w:rPr>
              <w:t>en Tunisie</w:t>
            </w:r>
          </w:p>
          <w:p w14:paraId="7CFB3B10" w14:textId="2945BBDA" w:rsidR="004D40AD" w:rsidRPr="004D40AD" w:rsidRDefault="004D40AD" w:rsidP="004D40AD">
            <w:pPr>
              <w:tabs>
                <w:tab w:val="left" w:pos="1335"/>
              </w:tabs>
              <w:spacing w:after="0" w:line="240" w:lineRule="auto"/>
              <w:rPr>
                <w:rFonts w:cstheme="minorHAnsi"/>
                <w:b/>
                <w:bCs/>
              </w:rPr>
            </w:pPr>
            <w:r w:rsidRPr="004D40AD">
              <w:rPr>
                <w:rFonts w:cstheme="minorHAnsi"/>
                <w:b/>
                <w:bCs/>
              </w:rPr>
              <w:t>Autres</w:t>
            </w:r>
            <w:r>
              <w:rPr>
                <w:rFonts w:cstheme="minorHAnsi"/>
                <w:b/>
                <w:bCs/>
              </w:rPr>
              <w:t> :</w:t>
            </w:r>
          </w:p>
          <w:p w14:paraId="7680B7B3" w14:textId="0416AB95" w:rsidR="000A09C5" w:rsidRPr="0092608E" w:rsidRDefault="00F30699" w:rsidP="00256B23">
            <w:pPr>
              <w:pStyle w:val="ListParagraph"/>
              <w:numPr>
                <w:ilvl w:val="0"/>
                <w:numId w:val="37"/>
              </w:numPr>
              <w:tabs>
                <w:tab w:val="left" w:pos="1335"/>
              </w:tabs>
              <w:spacing w:after="0" w:line="240" w:lineRule="auto"/>
              <w:rPr>
                <w:rFonts w:cstheme="minorHAnsi"/>
              </w:rPr>
            </w:pPr>
            <w:r w:rsidRPr="0092608E">
              <w:rPr>
                <w:rFonts w:cstheme="minorHAnsi"/>
              </w:rPr>
              <w:t>Maîtrise de</w:t>
            </w:r>
            <w:r w:rsidR="000A09C5" w:rsidRPr="0092608E">
              <w:rPr>
                <w:rFonts w:cstheme="minorHAnsi"/>
              </w:rPr>
              <w:t>s</w:t>
            </w:r>
            <w:r w:rsidRPr="0092608E">
              <w:rPr>
                <w:rFonts w:cstheme="minorHAnsi"/>
              </w:rPr>
              <w:t xml:space="preserve"> outil</w:t>
            </w:r>
            <w:r w:rsidR="000A09C5" w:rsidRPr="0092608E">
              <w:rPr>
                <w:rFonts w:cstheme="minorHAnsi"/>
              </w:rPr>
              <w:t>s</w:t>
            </w:r>
            <w:r w:rsidRPr="0092608E">
              <w:rPr>
                <w:rFonts w:cstheme="minorHAnsi"/>
              </w:rPr>
              <w:t xml:space="preserve"> informatique</w:t>
            </w:r>
            <w:r w:rsidR="000A09C5" w:rsidRPr="0092608E">
              <w:rPr>
                <w:rFonts w:cstheme="minorHAnsi"/>
              </w:rPr>
              <w:t>s nécessaires à la conduite de la mission (Word, Excel, etc.)</w:t>
            </w:r>
          </w:p>
          <w:p w14:paraId="04D02AE9" w14:textId="293D2CBB" w:rsidR="00A60946" w:rsidRPr="0092608E" w:rsidRDefault="008D04A3" w:rsidP="00256B23">
            <w:pPr>
              <w:pStyle w:val="ListParagraph"/>
              <w:numPr>
                <w:ilvl w:val="0"/>
                <w:numId w:val="37"/>
              </w:numPr>
              <w:tabs>
                <w:tab w:val="left" w:pos="1335"/>
              </w:tabs>
              <w:spacing w:after="0" w:line="240" w:lineRule="auto"/>
              <w:rPr>
                <w:rFonts w:cstheme="minorHAnsi"/>
              </w:rPr>
            </w:pPr>
            <w:r w:rsidRPr="0092608E">
              <w:rPr>
                <w:rFonts w:cstheme="minorHAnsi"/>
              </w:rPr>
              <w:t xml:space="preserve">Maîtrise de l’arabe, du français et de l’anglais avec une compétence rédactionnelle et de synthèse avérée </w:t>
            </w:r>
            <w:r w:rsidR="00F30699" w:rsidRPr="0092608E">
              <w:rPr>
                <w:rFonts w:cstheme="minorHAnsi"/>
              </w:rPr>
              <w:t>en Français</w:t>
            </w:r>
          </w:p>
        </w:tc>
      </w:tr>
      <w:tr w:rsidR="003B01C8" w:rsidRPr="0092608E" w14:paraId="5C3BE8F0" w14:textId="77777777" w:rsidTr="00A25173">
        <w:tblPrEx>
          <w:tblCellMar>
            <w:left w:w="148" w:type="dxa"/>
            <w:right w:w="148" w:type="dxa"/>
          </w:tblCellMar>
        </w:tblPrEx>
        <w:tc>
          <w:tcPr>
            <w:tcW w:w="2178" w:type="dxa"/>
            <w:tcBorders>
              <w:top w:val="single" w:sz="6" w:space="0" w:color="auto"/>
              <w:left w:val="double" w:sz="6" w:space="0" w:color="auto"/>
              <w:bottom w:val="single" w:sz="6" w:space="0" w:color="auto"/>
            </w:tcBorders>
            <w:shd w:val="clear" w:color="auto" w:fill="auto"/>
          </w:tcPr>
          <w:p w14:paraId="1110B043" w14:textId="0164325B" w:rsidR="003B01C8" w:rsidRPr="0092608E" w:rsidRDefault="003B01C8" w:rsidP="00127406">
            <w:pPr>
              <w:tabs>
                <w:tab w:val="left" w:pos="-720"/>
              </w:tabs>
              <w:suppressAutoHyphens/>
              <w:spacing w:before="40" w:after="54" w:line="240" w:lineRule="auto"/>
              <w:jc w:val="both"/>
              <w:rPr>
                <w:rFonts w:cstheme="minorHAnsi"/>
                <w:b/>
                <w:bCs/>
                <w:i/>
                <w:iCs/>
                <w:sz w:val="24"/>
                <w:szCs w:val="24"/>
              </w:rPr>
            </w:pPr>
            <w:r w:rsidRPr="0092608E">
              <w:rPr>
                <w:rFonts w:cstheme="minorHAnsi"/>
                <w:b/>
                <w:bCs/>
                <w:i/>
                <w:iCs/>
                <w:sz w:val="24"/>
                <w:szCs w:val="24"/>
              </w:rPr>
              <w:t>Soumission des candidatures:</w:t>
            </w:r>
          </w:p>
        </w:tc>
        <w:tc>
          <w:tcPr>
            <w:tcW w:w="7796" w:type="dxa"/>
            <w:tcBorders>
              <w:top w:val="single" w:sz="6" w:space="0" w:color="auto"/>
              <w:left w:val="single" w:sz="6" w:space="0" w:color="auto"/>
              <w:bottom w:val="single" w:sz="6" w:space="0" w:color="auto"/>
              <w:right w:val="double" w:sz="6" w:space="0" w:color="auto"/>
            </w:tcBorders>
            <w:shd w:val="clear" w:color="auto" w:fill="auto"/>
          </w:tcPr>
          <w:p w14:paraId="471E8E64" w14:textId="77777777" w:rsidR="003B01C8" w:rsidRPr="0092608E" w:rsidRDefault="003B01C8" w:rsidP="003B01C8">
            <w:pPr>
              <w:tabs>
                <w:tab w:val="left" w:pos="1335"/>
              </w:tabs>
              <w:spacing w:after="0" w:line="240" w:lineRule="auto"/>
              <w:rPr>
                <w:rFonts w:cstheme="minorHAnsi"/>
              </w:rPr>
            </w:pPr>
            <w:r w:rsidRPr="0092608E">
              <w:rPr>
                <w:rFonts w:cstheme="minorHAnsi"/>
              </w:rPr>
              <w:t>Les personnes intéressées sont appelées à présenter un dossier de candidature comportant :</w:t>
            </w:r>
          </w:p>
          <w:p w14:paraId="7A497F92" w14:textId="77777777" w:rsidR="003B01C8" w:rsidRPr="0092608E" w:rsidRDefault="003B01C8" w:rsidP="003B01C8">
            <w:pPr>
              <w:pStyle w:val="ListParagraph"/>
              <w:numPr>
                <w:ilvl w:val="0"/>
                <w:numId w:val="27"/>
              </w:numPr>
              <w:tabs>
                <w:tab w:val="left" w:pos="1335"/>
              </w:tabs>
              <w:spacing w:after="0" w:line="240" w:lineRule="auto"/>
              <w:rPr>
                <w:rFonts w:cstheme="minorHAnsi"/>
              </w:rPr>
            </w:pPr>
            <w:r w:rsidRPr="0092608E">
              <w:rPr>
                <w:rFonts w:cstheme="minorHAnsi"/>
              </w:rPr>
              <w:t>Un CV détaillé</w:t>
            </w:r>
          </w:p>
          <w:p w14:paraId="70AFFDCB" w14:textId="77777777" w:rsidR="003B01C8" w:rsidRPr="0092608E" w:rsidRDefault="003B01C8" w:rsidP="003B01C8">
            <w:pPr>
              <w:pStyle w:val="ListParagraph"/>
              <w:numPr>
                <w:ilvl w:val="0"/>
                <w:numId w:val="27"/>
              </w:numPr>
              <w:tabs>
                <w:tab w:val="left" w:pos="1335"/>
              </w:tabs>
              <w:spacing w:after="0" w:line="240" w:lineRule="auto"/>
              <w:rPr>
                <w:rFonts w:cstheme="minorHAnsi"/>
              </w:rPr>
            </w:pPr>
            <w:r w:rsidRPr="0092608E">
              <w:rPr>
                <w:rFonts w:cstheme="minorHAnsi"/>
              </w:rPr>
              <w:t>L’offre technique incluant : Une note méthodologique avec un organigramme prévisionnel</w:t>
            </w:r>
          </w:p>
          <w:p w14:paraId="17C6F4E8" w14:textId="77777777" w:rsidR="003B01C8" w:rsidRPr="0092608E" w:rsidRDefault="003B01C8" w:rsidP="003B01C8">
            <w:pPr>
              <w:tabs>
                <w:tab w:val="left" w:pos="1335"/>
              </w:tabs>
              <w:spacing w:after="0" w:line="240" w:lineRule="auto"/>
              <w:rPr>
                <w:rFonts w:cstheme="minorHAnsi"/>
              </w:rPr>
            </w:pPr>
            <w:r w:rsidRPr="0092608E">
              <w:rPr>
                <w:rFonts w:cstheme="minorHAnsi"/>
              </w:rPr>
              <w:t xml:space="preserve">Le dossier de candidature doit être soumis par email à l’adresse suivante : </w:t>
            </w:r>
          </w:p>
          <w:p w14:paraId="5782E26C" w14:textId="225D8145" w:rsidR="003B01C8" w:rsidRDefault="00DB7462" w:rsidP="008D04A3">
            <w:pPr>
              <w:tabs>
                <w:tab w:val="left" w:pos="1335"/>
              </w:tabs>
              <w:spacing w:after="0" w:line="240" w:lineRule="auto"/>
              <w:rPr>
                <w:rFonts w:cstheme="minorHAnsi"/>
              </w:rPr>
            </w:pPr>
            <w:hyperlink r:id="rId8" w:history="1">
              <w:r w:rsidR="003B01C8" w:rsidRPr="0092608E">
                <w:rPr>
                  <w:rStyle w:val="Hyperlink"/>
                  <w:rFonts w:cstheme="minorHAnsi"/>
                </w:rPr>
                <w:t>tunisia.office@unfpa.org</w:t>
              </w:r>
            </w:hyperlink>
            <w:r w:rsidR="003B01C8" w:rsidRPr="0092608E">
              <w:rPr>
                <w:rFonts w:cstheme="minorHAnsi"/>
              </w:rPr>
              <w:t xml:space="preserve"> ; en cc </w:t>
            </w:r>
            <w:hyperlink r:id="rId9" w:history="1">
              <w:r w:rsidR="003B01C8" w:rsidRPr="0092608E">
                <w:rPr>
                  <w:rStyle w:val="Hyperlink"/>
                  <w:rFonts w:cstheme="minorHAnsi"/>
                </w:rPr>
                <w:t>boughzala@unfpa.org</w:t>
              </w:r>
            </w:hyperlink>
            <w:r w:rsidR="003B01C8" w:rsidRPr="0092608E">
              <w:rPr>
                <w:rFonts w:cstheme="minorHAnsi"/>
              </w:rPr>
              <w:t xml:space="preserve"> </w:t>
            </w:r>
          </w:p>
          <w:p w14:paraId="7834FDF1" w14:textId="44B5B576" w:rsidR="003E0A78" w:rsidRDefault="003E0A78" w:rsidP="003E0A78">
            <w:pPr>
              <w:tabs>
                <w:tab w:val="left" w:pos="1335"/>
              </w:tabs>
              <w:spacing w:after="0" w:line="240" w:lineRule="auto"/>
              <w:rPr>
                <w:rFonts w:cstheme="minorHAnsi"/>
              </w:rPr>
            </w:pPr>
            <w:proofErr w:type="gramStart"/>
            <w:r>
              <w:rPr>
                <w:rFonts w:cstheme="minorHAnsi"/>
              </w:rPr>
              <w:t>avec</w:t>
            </w:r>
            <w:proofErr w:type="gramEnd"/>
            <w:r>
              <w:rPr>
                <w:rFonts w:cstheme="minorHAnsi"/>
              </w:rPr>
              <w:t xml:space="preserve"> en objet du mail : « Candidature – Expert senior Evaluation SSDMR »</w:t>
            </w:r>
          </w:p>
          <w:p w14:paraId="4846B934" w14:textId="0CA2A26F" w:rsidR="003E0A78" w:rsidRPr="003E0A78" w:rsidRDefault="003E0A78" w:rsidP="008D04A3">
            <w:pPr>
              <w:tabs>
                <w:tab w:val="left" w:pos="1335"/>
              </w:tabs>
              <w:spacing w:after="0" w:line="240" w:lineRule="auto"/>
              <w:rPr>
                <w:rFonts w:cstheme="minorHAnsi"/>
                <w:b/>
                <w:bCs/>
              </w:rPr>
            </w:pPr>
            <w:r w:rsidRPr="003E0A78">
              <w:rPr>
                <w:rFonts w:cstheme="minorHAnsi"/>
                <w:b/>
                <w:bCs/>
                <w:highlight w:val="yellow"/>
              </w:rPr>
              <w:t>D</w:t>
            </w:r>
            <w:r w:rsidR="005B1786">
              <w:rPr>
                <w:rFonts w:cstheme="minorHAnsi"/>
                <w:b/>
                <w:bCs/>
                <w:highlight w:val="yellow"/>
              </w:rPr>
              <w:t>ernier d</w:t>
            </w:r>
            <w:bookmarkStart w:id="0" w:name="_GoBack"/>
            <w:bookmarkEnd w:id="0"/>
            <w:r w:rsidRPr="003E0A78">
              <w:rPr>
                <w:rFonts w:cstheme="minorHAnsi"/>
                <w:b/>
                <w:bCs/>
                <w:highlight w:val="yellow"/>
              </w:rPr>
              <w:t>élai de soumission : 18 Novembre 2023</w:t>
            </w:r>
          </w:p>
        </w:tc>
      </w:tr>
      <w:tr w:rsidR="00127406" w:rsidRPr="0092608E" w14:paraId="7A70FF0E" w14:textId="77777777" w:rsidTr="00A25173">
        <w:tblPrEx>
          <w:tblCellMar>
            <w:left w:w="148" w:type="dxa"/>
            <w:right w:w="148" w:type="dxa"/>
          </w:tblCellMar>
        </w:tblPrEx>
        <w:trPr>
          <w:trHeight w:val="528"/>
        </w:trPr>
        <w:tc>
          <w:tcPr>
            <w:tcW w:w="9974" w:type="dxa"/>
            <w:gridSpan w:val="2"/>
            <w:tcBorders>
              <w:top w:val="single" w:sz="4" w:space="0" w:color="auto"/>
              <w:left w:val="double" w:sz="6" w:space="0" w:color="auto"/>
              <w:bottom w:val="double" w:sz="6" w:space="0" w:color="auto"/>
              <w:right w:val="double" w:sz="6" w:space="0" w:color="auto"/>
            </w:tcBorders>
            <w:shd w:val="clear" w:color="auto" w:fill="auto"/>
          </w:tcPr>
          <w:p w14:paraId="492D8A01" w14:textId="466950FA" w:rsidR="00127406" w:rsidRPr="0092608E" w:rsidRDefault="004E5734" w:rsidP="00127406">
            <w:pPr>
              <w:tabs>
                <w:tab w:val="left" w:pos="-720"/>
              </w:tabs>
              <w:suppressAutoHyphens/>
              <w:spacing w:after="0" w:line="240" w:lineRule="auto"/>
              <w:jc w:val="both"/>
              <w:rPr>
                <w:rFonts w:cstheme="minorHAnsi"/>
              </w:rPr>
            </w:pPr>
            <w:r w:rsidRPr="0092608E">
              <w:rPr>
                <w:rFonts w:cstheme="minorHAnsi"/>
              </w:rPr>
              <w:t>Signature :</w:t>
            </w:r>
            <w:r w:rsidR="00127406" w:rsidRPr="0092608E">
              <w:rPr>
                <w:rFonts w:cstheme="minorHAnsi"/>
              </w:rPr>
              <w:t xml:space="preserve">  Dr </w:t>
            </w:r>
            <w:proofErr w:type="spellStart"/>
            <w:r w:rsidR="00127406" w:rsidRPr="0092608E">
              <w:rPr>
                <w:rFonts w:cstheme="minorHAnsi"/>
              </w:rPr>
              <w:t>Rym</w:t>
            </w:r>
            <w:proofErr w:type="spellEnd"/>
            <w:r w:rsidR="00127406" w:rsidRPr="0092608E">
              <w:rPr>
                <w:rFonts w:cstheme="minorHAnsi"/>
              </w:rPr>
              <w:t xml:space="preserve"> </w:t>
            </w:r>
            <w:proofErr w:type="spellStart"/>
            <w:r w:rsidR="00127406" w:rsidRPr="0092608E">
              <w:rPr>
                <w:rFonts w:cstheme="minorHAnsi"/>
              </w:rPr>
              <w:t>Fayala</w:t>
            </w:r>
            <w:proofErr w:type="spellEnd"/>
            <w:r w:rsidR="00127406" w:rsidRPr="0092608E">
              <w:rPr>
                <w:rFonts w:cstheme="minorHAnsi"/>
              </w:rPr>
              <w:t xml:space="preserve">, </w:t>
            </w:r>
            <w:r w:rsidR="00CF5AB5" w:rsidRPr="0092608E">
              <w:rPr>
                <w:rFonts w:cstheme="minorHAnsi"/>
              </w:rPr>
              <w:t>Cheffe du Bureau UNFPA</w:t>
            </w:r>
          </w:p>
          <w:p w14:paraId="14C8E7CA" w14:textId="1C5AA1F6" w:rsidR="00127406" w:rsidRPr="0092608E" w:rsidRDefault="00127406" w:rsidP="008D04A3">
            <w:pPr>
              <w:tabs>
                <w:tab w:val="left" w:pos="-720"/>
              </w:tabs>
              <w:suppressAutoHyphens/>
              <w:spacing w:after="0" w:line="240" w:lineRule="auto"/>
              <w:jc w:val="both"/>
              <w:rPr>
                <w:rFonts w:cstheme="minorHAnsi"/>
              </w:rPr>
            </w:pPr>
            <w:r w:rsidRPr="0092608E">
              <w:rPr>
                <w:rFonts w:cstheme="minorHAnsi"/>
              </w:rPr>
              <w:t xml:space="preserve">Date: </w:t>
            </w:r>
            <w:r w:rsidR="00FF3CAF">
              <w:rPr>
                <w:rFonts w:cstheme="minorHAnsi"/>
              </w:rPr>
              <w:t>06</w:t>
            </w:r>
            <w:r w:rsidRPr="0092608E">
              <w:rPr>
                <w:rFonts w:cstheme="minorHAnsi"/>
              </w:rPr>
              <w:t>/</w:t>
            </w:r>
            <w:r w:rsidR="00FF3CAF">
              <w:rPr>
                <w:rFonts w:cstheme="minorHAnsi"/>
              </w:rPr>
              <w:t>11</w:t>
            </w:r>
            <w:r w:rsidRPr="0092608E">
              <w:rPr>
                <w:rFonts w:cstheme="minorHAnsi"/>
              </w:rPr>
              <w:t>/</w:t>
            </w:r>
            <w:r w:rsidR="00FF3CAF">
              <w:rPr>
                <w:rFonts w:cstheme="minorHAnsi"/>
              </w:rPr>
              <w:t>2023</w:t>
            </w:r>
          </w:p>
        </w:tc>
      </w:tr>
    </w:tbl>
    <w:p w14:paraId="5BF5B1A6" w14:textId="77777777" w:rsidR="00ED3ED4" w:rsidRPr="0092608E" w:rsidRDefault="00ED3ED4" w:rsidP="00C512AB">
      <w:pPr>
        <w:spacing w:after="0" w:line="240" w:lineRule="auto"/>
        <w:jc w:val="both"/>
        <w:rPr>
          <w:rFonts w:eastAsia="Times New Roman" w:cstheme="minorHAnsi"/>
          <w:sz w:val="16"/>
          <w:szCs w:val="16"/>
        </w:rPr>
      </w:pPr>
    </w:p>
    <w:p w14:paraId="76803146" w14:textId="77777777" w:rsidR="00A25173" w:rsidRPr="0092608E" w:rsidRDefault="00A25173" w:rsidP="00210465">
      <w:pPr>
        <w:spacing w:line="240" w:lineRule="auto"/>
        <w:jc w:val="center"/>
        <w:rPr>
          <w:rFonts w:cstheme="minorHAnsi"/>
        </w:rPr>
      </w:pPr>
    </w:p>
    <w:sectPr w:rsidR="00A25173" w:rsidRPr="0092608E" w:rsidSect="00D55D01">
      <w:headerReference w:type="default" r:id="rId10"/>
      <w:pgSz w:w="11906" w:h="16838" w:code="9"/>
      <w:pgMar w:top="1702" w:right="1152" w:bottom="720" w:left="1152" w:header="426"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CA0F3" w14:textId="77777777" w:rsidR="00DB7462" w:rsidRDefault="00DB7462" w:rsidP="00A25173">
      <w:pPr>
        <w:spacing w:after="0" w:line="240" w:lineRule="auto"/>
      </w:pPr>
      <w:r>
        <w:separator/>
      </w:r>
    </w:p>
  </w:endnote>
  <w:endnote w:type="continuationSeparator" w:id="0">
    <w:p w14:paraId="731F37B5" w14:textId="77777777" w:rsidR="00DB7462" w:rsidRDefault="00DB7462" w:rsidP="00A2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Arial"/>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0BB9E" w14:textId="77777777" w:rsidR="00DB7462" w:rsidRDefault="00DB7462" w:rsidP="00A25173">
      <w:pPr>
        <w:spacing w:after="0" w:line="240" w:lineRule="auto"/>
      </w:pPr>
      <w:r>
        <w:separator/>
      </w:r>
    </w:p>
  </w:footnote>
  <w:footnote w:type="continuationSeparator" w:id="0">
    <w:p w14:paraId="1E59DF37" w14:textId="77777777" w:rsidR="00DB7462" w:rsidRDefault="00DB7462" w:rsidP="00A2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1CF83" w14:textId="543ACE72" w:rsidR="003359F3" w:rsidRDefault="003359F3" w:rsidP="009B5186">
    <w:pPr>
      <w:pStyle w:val="Header"/>
      <w:tabs>
        <w:tab w:val="clear" w:pos="4703"/>
        <w:tab w:val="clear" w:pos="9406"/>
        <w:tab w:val="left" w:pos="708"/>
        <w:tab w:val="left" w:pos="6804"/>
        <w:tab w:val="left" w:pos="7088"/>
      </w:tabs>
    </w:pPr>
    <w:r>
      <w:rPr>
        <w:noProof/>
        <w:lang w:eastAsia="fr-FR"/>
      </w:rPr>
      <w:drawing>
        <wp:anchor distT="0" distB="0" distL="114300" distR="114300" simplePos="0" relativeHeight="251658240" behindDoc="1" locked="0" layoutInCell="1" allowOverlap="1" wp14:anchorId="34B29220" wp14:editId="56725D64">
          <wp:simplePos x="0" y="0"/>
          <wp:positionH relativeFrom="column">
            <wp:posOffset>4643562</wp:posOffset>
          </wp:positionH>
          <wp:positionV relativeFrom="paragraph">
            <wp:posOffset>-47873</wp:posOffset>
          </wp:positionV>
          <wp:extent cx="1419308" cy="644602"/>
          <wp:effectExtent l="0" t="0" r="0" b="3175"/>
          <wp:wrapNone/>
          <wp:docPr id="24" name="Picture 24" descr="Fichier:UNFPA logo.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UNFPA logo.svg — Wikipé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0090" cy="6449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1" locked="0" layoutInCell="1" allowOverlap="1" wp14:anchorId="68E8FB3E" wp14:editId="6A87488F">
          <wp:simplePos x="0" y="0"/>
          <wp:positionH relativeFrom="column">
            <wp:posOffset>0</wp:posOffset>
          </wp:positionH>
          <wp:positionV relativeFrom="paragraph">
            <wp:posOffset>-47873</wp:posOffset>
          </wp:positionV>
          <wp:extent cx="1311965" cy="720659"/>
          <wp:effectExtent l="0" t="0" r="254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ERE  SANTE TUNISIE.jpg"/>
                  <pic:cNvPicPr/>
                </pic:nvPicPr>
                <pic:blipFill rotWithShape="1">
                  <a:blip r:embed="rId2">
                    <a:extLst>
                      <a:ext uri="{28A0092B-C50C-407E-A947-70E740481C1C}">
                        <a14:useLocalDpi xmlns:a14="http://schemas.microsoft.com/office/drawing/2010/main" val="0"/>
                      </a:ext>
                    </a:extLst>
                  </a:blip>
                  <a:srcRect l="19846" t="24310" r="23197" b="25565"/>
                  <a:stretch/>
                </pic:blipFill>
                <pic:spPr bwMode="auto">
                  <a:xfrm>
                    <a:off x="0" y="0"/>
                    <a:ext cx="1338436" cy="7351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p w14:paraId="372B994C" w14:textId="3534E333" w:rsidR="003359F3" w:rsidRDefault="003359F3" w:rsidP="009B5186">
    <w:pPr>
      <w:pStyle w:val="Header"/>
      <w:tabs>
        <w:tab w:val="clear" w:pos="4703"/>
        <w:tab w:val="clear" w:pos="9406"/>
        <w:tab w:val="left" w:pos="708"/>
        <w:tab w:val="left" w:pos="6804"/>
        <w:tab w:val="left" w:pos="7088"/>
      </w:tabs>
    </w:pPr>
  </w:p>
  <w:p w14:paraId="17EC16CF" w14:textId="4CB3BB20" w:rsidR="003359F3" w:rsidRDefault="003359F3" w:rsidP="009B5186">
    <w:pPr>
      <w:pStyle w:val="Header"/>
      <w:tabs>
        <w:tab w:val="clear" w:pos="4703"/>
        <w:tab w:val="clear" w:pos="9406"/>
        <w:tab w:val="left" w:pos="708"/>
        <w:tab w:val="left" w:pos="6804"/>
        <w:tab w:val="left" w:pos="7088"/>
      </w:tabs>
    </w:pPr>
  </w:p>
  <w:p w14:paraId="767DD64F" w14:textId="3C8AC251" w:rsidR="003359F3" w:rsidRDefault="003359F3" w:rsidP="009B5186">
    <w:pPr>
      <w:pStyle w:val="Header"/>
      <w:tabs>
        <w:tab w:val="clear" w:pos="4703"/>
        <w:tab w:val="clear" w:pos="9406"/>
        <w:tab w:val="left" w:pos="708"/>
        <w:tab w:val="left" w:pos="6804"/>
        <w:tab w:val="left" w:pos="708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C6A"/>
    <w:multiLevelType w:val="hybridMultilevel"/>
    <w:tmpl w:val="8AC2A1AA"/>
    <w:lvl w:ilvl="0" w:tplc="6EFA0364">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0629C6"/>
    <w:multiLevelType w:val="hybridMultilevel"/>
    <w:tmpl w:val="BCD61252"/>
    <w:lvl w:ilvl="0" w:tplc="68E6CBE6">
      <w:numFmt w:val="bullet"/>
      <w:lvlText w:val="-"/>
      <w:lvlJc w:val="left"/>
      <w:pPr>
        <w:ind w:left="1428" w:hanging="360"/>
      </w:pPr>
      <w:rPr>
        <w:rFonts w:ascii="Calibri" w:eastAsia="Times New Roman" w:hAnsi="Calibri" w:cstheme="minorHAns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3C00A5E"/>
    <w:multiLevelType w:val="hybridMultilevel"/>
    <w:tmpl w:val="C89486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1E6DBE"/>
    <w:multiLevelType w:val="hybridMultilevel"/>
    <w:tmpl w:val="F3E05D54"/>
    <w:lvl w:ilvl="0" w:tplc="2DE290D6">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0B57BC"/>
    <w:multiLevelType w:val="hybridMultilevel"/>
    <w:tmpl w:val="036CAE1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D22AEA"/>
    <w:multiLevelType w:val="hybridMultilevel"/>
    <w:tmpl w:val="82DCC1F8"/>
    <w:lvl w:ilvl="0" w:tplc="A50EAC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305D5E"/>
    <w:multiLevelType w:val="hybridMultilevel"/>
    <w:tmpl w:val="572A7F30"/>
    <w:lvl w:ilvl="0" w:tplc="68E6CBE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DF1F50"/>
    <w:multiLevelType w:val="hybridMultilevel"/>
    <w:tmpl w:val="F594EC98"/>
    <w:lvl w:ilvl="0" w:tplc="2DE290D6">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1C71E5"/>
    <w:multiLevelType w:val="hybridMultilevel"/>
    <w:tmpl w:val="6C36DA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1697FBC"/>
    <w:multiLevelType w:val="hybridMultilevel"/>
    <w:tmpl w:val="5560989C"/>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0B1235"/>
    <w:multiLevelType w:val="hybridMultilevel"/>
    <w:tmpl w:val="CE7054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D31824"/>
    <w:multiLevelType w:val="hybridMultilevel"/>
    <w:tmpl w:val="876EF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764509"/>
    <w:multiLevelType w:val="hybridMultilevel"/>
    <w:tmpl w:val="4F54A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877E5"/>
    <w:multiLevelType w:val="hybridMultilevel"/>
    <w:tmpl w:val="B1ACB64E"/>
    <w:lvl w:ilvl="0" w:tplc="040C0001">
      <w:start w:val="1"/>
      <w:numFmt w:val="bullet"/>
      <w:lvlText w:val=""/>
      <w:lvlJc w:val="left"/>
      <w:pPr>
        <w:ind w:left="360" w:hanging="360"/>
      </w:pPr>
      <w:rPr>
        <w:rFonts w:ascii="Symbol" w:hAnsi="Symbol" w:hint="default"/>
      </w:rPr>
    </w:lvl>
    <w:lvl w:ilvl="1" w:tplc="59A45C3E">
      <w:numFmt w:val="bullet"/>
      <w:lvlText w:val="-"/>
      <w:lvlJc w:val="left"/>
      <w:pPr>
        <w:ind w:left="1425" w:hanging="705"/>
      </w:pPr>
      <w:rPr>
        <w:rFonts w:ascii="Arial" w:eastAsia="Times New Roman" w:hAnsi="Arial"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7DC35B3"/>
    <w:multiLevelType w:val="hybridMultilevel"/>
    <w:tmpl w:val="AD7E3A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535359"/>
    <w:multiLevelType w:val="hybridMultilevel"/>
    <w:tmpl w:val="0C7679E2"/>
    <w:lvl w:ilvl="0" w:tplc="040C000F">
      <w:start w:val="1"/>
      <w:numFmt w:val="decimal"/>
      <w:lvlText w:val="%1."/>
      <w:lvlJc w:val="left"/>
      <w:pPr>
        <w:ind w:left="360" w:hanging="360"/>
      </w:pPr>
    </w:lvl>
    <w:lvl w:ilvl="1" w:tplc="59A45C3E">
      <w:numFmt w:val="bullet"/>
      <w:lvlText w:val="-"/>
      <w:lvlJc w:val="left"/>
      <w:pPr>
        <w:ind w:left="1425" w:hanging="705"/>
      </w:pPr>
      <w:rPr>
        <w:rFonts w:ascii="Arial" w:eastAsia="Times New Roman" w:hAnsi="Arial"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D7C079E"/>
    <w:multiLevelType w:val="hybridMultilevel"/>
    <w:tmpl w:val="55D8C2EE"/>
    <w:lvl w:ilvl="0" w:tplc="5A16679C">
      <w:start w:val="1"/>
      <w:numFmt w:val="decimal"/>
      <w:lvlText w:val="%1."/>
      <w:lvlJc w:val="left"/>
      <w:pPr>
        <w:ind w:left="720" w:hanging="360"/>
      </w:pPr>
      <w:rPr>
        <w:rFonts w:eastAsia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0774735"/>
    <w:multiLevelType w:val="hybridMultilevel"/>
    <w:tmpl w:val="AE7440F6"/>
    <w:lvl w:ilvl="0" w:tplc="68E6CBE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8F5DAC"/>
    <w:multiLevelType w:val="hybridMultilevel"/>
    <w:tmpl w:val="B7FA7822"/>
    <w:lvl w:ilvl="0" w:tplc="A50EAC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353E65"/>
    <w:multiLevelType w:val="hybridMultilevel"/>
    <w:tmpl w:val="396C4996"/>
    <w:lvl w:ilvl="0" w:tplc="FFFFFFFF">
      <w:start w:val="1"/>
      <w:numFmt w:val="decimal"/>
      <w:lvlText w:val="%1."/>
      <w:lvlJc w:val="left"/>
      <w:pPr>
        <w:ind w:left="720" w:hanging="360"/>
      </w:pPr>
      <w:rPr>
        <w:rFonts w:hint="default"/>
      </w:rPr>
    </w:lvl>
    <w:lvl w:ilvl="1" w:tplc="FFFFFFFF">
      <w:start w:val="1"/>
      <w:numFmt w:val="lowerLetter"/>
      <w:lvlText w:val="(%2)"/>
      <w:lvlJc w:val="left"/>
      <w:pPr>
        <w:ind w:left="2415" w:hanging="133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EF5748"/>
    <w:multiLevelType w:val="hybridMultilevel"/>
    <w:tmpl w:val="7574415C"/>
    <w:lvl w:ilvl="0" w:tplc="CCB4AEAE">
      <w:start w:val="1"/>
      <w:numFmt w:val="decimal"/>
      <w:lvlText w:val="%1)"/>
      <w:lvlJc w:val="left"/>
      <w:pPr>
        <w:ind w:left="360" w:hanging="360"/>
      </w:pPr>
      <w:rPr>
        <w:rFonts w:ascii="Times New Roman" w:eastAsia="Times New Roman" w:hAnsi="Times New Roman" w:cs="Times New Roman"/>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5CE3204"/>
    <w:multiLevelType w:val="hybridMultilevel"/>
    <w:tmpl w:val="DC649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021D17"/>
    <w:multiLevelType w:val="hybridMultilevel"/>
    <w:tmpl w:val="52E222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96D260F"/>
    <w:multiLevelType w:val="hybridMultilevel"/>
    <w:tmpl w:val="22F2037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7E33A4"/>
    <w:multiLevelType w:val="hybridMultilevel"/>
    <w:tmpl w:val="99D62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502A2"/>
    <w:multiLevelType w:val="multilevel"/>
    <w:tmpl w:val="6A107328"/>
    <w:lvl w:ilvl="0">
      <w:start w:val="1"/>
      <w:numFmt w:val="decimal"/>
      <w:lvlText w:val="%1."/>
      <w:lvlJc w:val="left"/>
      <w:pPr>
        <w:tabs>
          <w:tab w:val="num" w:pos="720"/>
        </w:tabs>
        <w:ind w:left="720" w:hanging="360"/>
      </w:pPr>
      <w:rPr>
        <w:rFonts w:hint="default"/>
        <w:color w:val="000000" w:themeColor="text1"/>
        <w:sz w:val="20"/>
      </w:rPr>
    </w:lvl>
    <w:lvl w:ilvl="1">
      <w:start w:val="2"/>
      <w:numFmt w:val="bullet"/>
      <w:lvlText w:val="-"/>
      <w:lvlJc w:val="left"/>
      <w:pPr>
        <w:ind w:left="1440" w:hanging="360"/>
      </w:pPr>
      <w:rPr>
        <w:rFonts w:ascii="Calibri" w:eastAsia="Times New Roman"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5834E3"/>
    <w:multiLevelType w:val="hybridMultilevel"/>
    <w:tmpl w:val="9DC899C2"/>
    <w:lvl w:ilvl="0" w:tplc="68E6CBE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85752F"/>
    <w:multiLevelType w:val="hybridMultilevel"/>
    <w:tmpl w:val="8AC2A1AA"/>
    <w:lvl w:ilvl="0" w:tplc="6EFA0364">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7521CCB"/>
    <w:multiLevelType w:val="hybridMultilevel"/>
    <w:tmpl w:val="3DFA0826"/>
    <w:lvl w:ilvl="0" w:tplc="E0E65EB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F768EF"/>
    <w:multiLevelType w:val="hybridMultilevel"/>
    <w:tmpl w:val="E89C3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664690"/>
    <w:multiLevelType w:val="hybridMultilevel"/>
    <w:tmpl w:val="B8A8B96E"/>
    <w:lvl w:ilvl="0" w:tplc="EAE6FB4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3C663B0"/>
    <w:multiLevelType w:val="hybridMultilevel"/>
    <w:tmpl w:val="2162FB86"/>
    <w:lvl w:ilvl="0" w:tplc="68E6CBE6">
      <w:numFmt w:val="bullet"/>
      <w:lvlText w:val="-"/>
      <w:lvlJc w:val="left"/>
      <w:pPr>
        <w:ind w:left="1490" w:hanging="360"/>
      </w:pPr>
      <w:rPr>
        <w:rFonts w:ascii="Calibri" w:eastAsia="Times New Roman" w:hAnsi="Calibri" w:cstheme="minorHAnsi"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32" w15:restartNumberingAfterBreak="0">
    <w:nsid w:val="64317BE0"/>
    <w:multiLevelType w:val="hybridMultilevel"/>
    <w:tmpl w:val="06789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2F677F"/>
    <w:multiLevelType w:val="hybridMultilevel"/>
    <w:tmpl w:val="7AE65992"/>
    <w:lvl w:ilvl="0" w:tplc="68E6CBE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68564C"/>
    <w:multiLevelType w:val="hybridMultilevel"/>
    <w:tmpl w:val="D564E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DD6240"/>
    <w:multiLevelType w:val="hybridMultilevel"/>
    <w:tmpl w:val="8B2803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0095A5D"/>
    <w:multiLevelType w:val="hybridMultilevel"/>
    <w:tmpl w:val="2104D90A"/>
    <w:lvl w:ilvl="0" w:tplc="87041968">
      <w:start w:val="5"/>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C40F50"/>
    <w:multiLevelType w:val="hybridMultilevel"/>
    <w:tmpl w:val="E27EC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AD63BB"/>
    <w:multiLevelType w:val="hybridMultilevel"/>
    <w:tmpl w:val="882694CE"/>
    <w:lvl w:ilvl="0" w:tplc="8316493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4FA65A8"/>
    <w:multiLevelType w:val="hybridMultilevel"/>
    <w:tmpl w:val="300A7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446EE2"/>
    <w:multiLevelType w:val="hybridMultilevel"/>
    <w:tmpl w:val="40A093B0"/>
    <w:lvl w:ilvl="0" w:tplc="8316493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66958E0"/>
    <w:multiLevelType w:val="hybridMultilevel"/>
    <w:tmpl w:val="8A16D64A"/>
    <w:lvl w:ilvl="0" w:tplc="8316493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7"/>
  </w:num>
  <w:num w:numId="2">
    <w:abstractNumId w:val="30"/>
  </w:num>
  <w:num w:numId="3">
    <w:abstractNumId w:val="11"/>
  </w:num>
  <w:num w:numId="4">
    <w:abstractNumId w:val="3"/>
  </w:num>
  <w:num w:numId="5">
    <w:abstractNumId w:val="36"/>
  </w:num>
  <w:num w:numId="6">
    <w:abstractNumId w:val="7"/>
  </w:num>
  <w:num w:numId="7">
    <w:abstractNumId w:val="5"/>
  </w:num>
  <w:num w:numId="8">
    <w:abstractNumId w:val="18"/>
  </w:num>
  <w:num w:numId="9">
    <w:abstractNumId w:val="8"/>
  </w:num>
  <w:num w:numId="10">
    <w:abstractNumId w:val="21"/>
  </w:num>
  <w:num w:numId="11">
    <w:abstractNumId w:val="40"/>
  </w:num>
  <w:num w:numId="12">
    <w:abstractNumId w:val="41"/>
  </w:num>
  <w:num w:numId="13">
    <w:abstractNumId w:val="38"/>
  </w:num>
  <w:num w:numId="14">
    <w:abstractNumId w:val="20"/>
  </w:num>
  <w:num w:numId="15">
    <w:abstractNumId w:val="10"/>
  </w:num>
  <w:num w:numId="16">
    <w:abstractNumId w:val="34"/>
  </w:num>
  <w:num w:numId="17">
    <w:abstractNumId w:val="24"/>
  </w:num>
  <w:num w:numId="18">
    <w:abstractNumId w:val="12"/>
  </w:num>
  <w:num w:numId="19">
    <w:abstractNumId w:val="25"/>
  </w:num>
  <w:num w:numId="20">
    <w:abstractNumId w:val="4"/>
  </w:num>
  <w:num w:numId="21">
    <w:abstractNumId w:val="15"/>
  </w:num>
  <w:num w:numId="22">
    <w:abstractNumId w:val="22"/>
  </w:num>
  <w:num w:numId="23">
    <w:abstractNumId w:val="14"/>
  </w:num>
  <w:num w:numId="24">
    <w:abstractNumId w:val="2"/>
  </w:num>
  <w:num w:numId="25">
    <w:abstractNumId w:val="32"/>
  </w:num>
  <w:num w:numId="26">
    <w:abstractNumId w:val="13"/>
  </w:num>
  <w:num w:numId="27">
    <w:abstractNumId w:val="9"/>
  </w:num>
  <w:num w:numId="28">
    <w:abstractNumId w:val="19"/>
  </w:num>
  <w:num w:numId="29">
    <w:abstractNumId w:val="35"/>
  </w:num>
  <w:num w:numId="30">
    <w:abstractNumId w:val="28"/>
  </w:num>
  <w:num w:numId="31">
    <w:abstractNumId w:val="29"/>
  </w:num>
  <w:num w:numId="32">
    <w:abstractNumId w:val="0"/>
  </w:num>
  <w:num w:numId="33">
    <w:abstractNumId w:val="39"/>
  </w:num>
  <w:num w:numId="34">
    <w:abstractNumId w:val="17"/>
  </w:num>
  <w:num w:numId="35">
    <w:abstractNumId w:val="33"/>
  </w:num>
  <w:num w:numId="36">
    <w:abstractNumId w:val="26"/>
  </w:num>
  <w:num w:numId="37">
    <w:abstractNumId w:val="6"/>
  </w:num>
  <w:num w:numId="38">
    <w:abstractNumId w:val="1"/>
  </w:num>
  <w:num w:numId="39">
    <w:abstractNumId w:val="23"/>
  </w:num>
  <w:num w:numId="40">
    <w:abstractNumId w:val="27"/>
  </w:num>
  <w:num w:numId="41">
    <w:abstractNumId w:val="1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D4"/>
    <w:rsid w:val="00000DF2"/>
    <w:rsid w:val="00017666"/>
    <w:rsid w:val="00020C40"/>
    <w:rsid w:val="000349AB"/>
    <w:rsid w:val="000732B9"/>
    <w:rsid w:val="00096E6B"/>
    <w:rsid w:val="000A09C5"/>
    <w:rsid w:val="000E1910"/>
    <w:rsid w:val="000F2372"/>
    <w:rsid w:val="00127406"/>
    <w:rsid w:val="00143534"/>
    <w:rsid w:val="0014471C"/>
    <w:rsid w:val="0018721D"/>
    <w:rsid w:val="00190254"/>
    <w:rsid w:val="00192E3A"/>
    <w:rsid w:val="001B7C85"/>
    <w:rsid w:val="00210465"/>
    <w:rsid w:val="00256B23"/>
    <w:rsid w:val="00292F6B"/>
    <w:rsid w:val="002B1031"/>
    <w:rsid w:val="002C3334"/>
    <w:rsid w:val="002F51D8"/>
    <w:rsid w:val="003002C2"/>
    <w:rsid w:val="00301C74"/>
    <w:rsid w:val="003243E5"/>
    <w:rsid w:val="00334669"/>
    <w:rsid w:val="003359F3"/>
    <w:rsid w:val="00351D74"/>
    <w:rsid w:val="00352F22"/>
    <w:rsid w:val="00394080"/>
    <w:rsid w:val="003B01C8"/>
    <w:rsid w:val="003C4049"/>
    <w:rsid w:val="003E0A78"/>
    <w:rsid w:val="00400D89"/>
    <w:rsid w:val="004138DD"/>
    <w:rsid w:val="004174C4"/>
    <w:rsid w:val="004319CE"/>
    <w:rsid w:val="00436510"/>
    <w:rsid w:val="00445DBA"/>
    <w:rsid w:val="004C3BCF"/>
    <w:rsid w:val="004D40AD"/>
    <w:rsid w:val="004E1620"/>
    <w:rsid w:val="004E5734"/>
    <w:rsid w:val="0053005F"/>
    <w:rsid w:val="00535F28"/>
    <w:rsid w:val="00541ED6"/>
    <w:rsid w:val="00544C29"/>
    <w:rsid w:val="005B1786"/>
    <w:rsid w:val="005B6CF4"/>
    <w:rsid w:val="005C071C"/>
    <w:rsid w:val="005C1927"/>
    <w:rsid w:val="005D2FAD"/>
    <w:rsid w:val="005E39CB"/>
    <w:rsid w:val="0060040B"/>
    <w:rsid w:val="006020EF"/>
    <w:rsid w:val="00607722"/>
    <w:rsid w:val="00611BDA"/>
    <w:rsid w:val="0061364F"/>
    <w:rsid w:val="00633A97"/>
    <w:rsid w:val="00636A31"/>
    <w:rsid w:val="006377C0"/>
    <w:rsid w:val="0068527F"/>
    <w:rsid w:val="00694508"/>
    <w:rsid w:val="006A6165"/>
    <w:rsid w:val="006D6722"/>
    <w:rsid w:val="007254F2"/>
    <w:rsid w:val="00730330"/>
    <w:rsid w:val="00744B22"/>
    <w:rsid w:val="00763B06"/>
    <w:rsid w:val="007726E9"/>
    <w:rsid w:val="007A0221"/>
    <w:rsid w:val="007A3F0D"/>
    <w:rsid w:val="007A608A"/>
    <w:rsid w:val="007A6F3A"/>
    <w:rsid w:val="007C66C8"/>
    <w:rsid w:val="007D1F74"/>
    <w:rsid w:val="007E508C"/>
    <w:rsid w:val="00802AF7"/>
    <w:rsid w:val="00824289"/>
    <w:rsid w:val="00836C5C"/>
    <w:rsid w:val="00837476"/>
    <w:rsid w:val="008B39A1"/>
    <w:rsid w:val="008B702B"/>
    <w:rsid w:val="008C18DD"/>
    <w:rsid w:val="008C3330"/>
    <w:rsid w:val="008C705B"/>
    <w:rsid w:val="008D04A3"/>
    <w:rsid w:val="008D2F05"/>
    <w:rsid w:val="00911CEA"/>
    <w:rsid w:val="00914DFB"/>
    <w:rsid w:val="0092608E"/>
    <w:rsid w:val="0095262E"/>
    <w:rsid w:val="009A26D0"/>
    <w:rsid w:val="009B5186"/>
    <w:rsid w:val="009D12B6"/>
    <w:rsid w:val="009D6AF1"/>
    <w:rsid w:val="00A00F89"/>
    <w:rsid w:val="00A02CAB"/>
    <w:rsid w:val="00A25173"/>
    <w:rsid w:val="00A3042D"/>
    <w:rsid w:val="00A34430"/>
    <w:rsid w:val="00A370E9"/>
    <w:rsid w:val="00A47493"/>
    <w:rsid w:val="00A60946"/>
    <w:rsid w:val="00A60C2B"/>
    <w:rsid w:val="00A73359"/>
    <w:rsid w:val="00A8475F"/>
    <w:rsid w:val="00AA291C"/>
    <w:rsid w:val="00B10A48"/>
    <w:rsid w:val="00B257F4"/>
    <w:rsid w:val="00B339B8"/>
    <w:rsid w:val="00B667F5"/>
    <w:rsid w:val="00B72015"/>
    <w:rsid w:val="00B81B19"/>
    <w:rsid w:val="00B869C3"/>
    <w:rsid w:val="00B902DF"/>
    <w:rsid w:val="00BD39EB"/>
    <w:rsid w:val="00BD43DE"/>
    <w:rsid w:val="00BD4AB1"/>
    <w:rsid w:val="00C12AE3"/>
    <w:rsid w:val="00C37C45"/>
    <w:rsid w:val="00C512AB"/>
    <w:rsid w:val="00C5268C"/>
    <w:rsid w:val="00C92B2C"/>
    <w:rsid w:val="00CC151A"/>
    <w:rsid w:val="00CC1AB3"/>
    <w:rsid w:val="00CE2AEF"/>
    <w:rsid w:val="00CF0366"/>
    <w:rsid w:val="00CF111B"/>
    <w:rsid w:val="00CF5AB5"/>
    <w:rsid w:val="00D03928"/>
    <w:rsid w:val="00D305D8"/>
    <w:rsid w:val="00D55D01"/>
    <w:rsid w:val="00D725B7"/>
    <w:rsid w:val="00D92FA6"/>
    <w:rsid w:val="00DB0737"/>
    <w:rsid w:val="00DB7462"/>
    <w:rsid w:val="00DD65E2"/>
    <w:rsid w:val="00DE477C"/>
    <w:rsid w:val="00E16943"/>
    <w:rsid w:val="00E4273C"/>
    <w:rsid w:val="00E45587"/>
    <w:rsid w:val="00E52625"/>
    <w:rsid w:val="00E53E55"/>
    <w:rsid w:val="00E757E4"/>
    <w:rsid w:val="00E75EC8"/>
    <w:rsid w:val="00E86583"/>
    <w:rsid w:val="00E9021D"/>
    <w:rsid w:val="00E930D4"/>
    <w:rsid w:val="00EB03D0"/>
    <w:rsid w:val="00EB5C8C"/>
    <w:rsid w:val="00ED3ED4"/>
    <w:rsid w:val="00EE5F09"/>
    <w:rsid w:val="00F26A9C"/>
    <w:rsid w:val="00F30699"/>
    <w:rsid w:val="00F44660"/>
    <w:rsid w:val="00F5199D"/>
    <w:rsid w:val="00F722A8"/>
    <w:rsid w:val="00FE4AA6"/>
    <w:rsid w:val="00FE6B81"/>
    <w:rsid w:val="00FF3CA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3A624"/>
  <w15:chartTrackingRefBased/>
  <w15:docId w15:val="{3A698885-0446-40B4-8287-8256BE5A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Bulle"/>
    <w:basedOn w:val="Normal"/>
    <w:link w:val="ListParagraphChar"/>
    <w:uiPriority w:val="34"/>
    <w:qFormat/>
    <w:rsid w:val="00ED3ED4"/>
    <w:pPr>
      <w:ind w:left="720"/>
      <w:contextualSpacing/>
    </w:pPr>
  </w:style>
  <w:style w:type="character" w:styleId="Hyperlink">
    <w:name w:val="Hyperlink"/>
    <w:basedOn w:val="DefaultParagraphFont"/>
    <w:uiPriority w:val="99"/>
    <w:unhideWhenUsed/>
    <w:rsid w:val="006D6722"/>
    <w:rPr>
      <w:color w:val="0563C1" w:themeColor="hyperlink"/>
      <w:u w:val="single"/>
    </w:rPr>
  </w:style>
  <w:style w:type="paragraph" w:styleId="BalloonText">
    <w:name w:val="Balloon Text"/>
    <w:basedOn w:val="Normal"/>
    <w:link w:val="BalloonTextChar"/>
    <w:uiPriority w:val="99"/>
    <w:semiHidden/>
    <w:unhideWhenUsed/>
    <w:rsid w:val="00C51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2AB"/>
    <w:rPr>
      <w:rFonts w:ascii="Segoe UI" w:hAnsi="Segoe UI" w:cs="Segoe UI"/>
      <w:sz w:val="18"/>
      <w:szCs w:val="18"/>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99"/>
    <w:rsid w:val="00C92B2C"/>
  </w:style>
  <w:style w:type="paragraph" w:customStyle="1" w:styleId="TableParagraph">
    <w:name w:val="Table Paragraph"/>
    <w:basedOn w:val="Normal"/>
    <w:uiPriority w:val="1"/>
    <w:qFormat/>
    <w:rsid w:val="00A25173"/>
    <w:pPr>
      <w:widowControl w:val="0"/>
      <w:autoSpaceDE w:val="0"/>
      <w:autoSpaceDN w:val="0"/>
      <w:spacing w:after="0" w:line="240" w:lineRule="auto"/>
    </w:pPr>
    <w:rPr>
      <w:rFonts w:ascii="Noto Sans" w:eastAsia="Noto Sans" w:hAnsi="Noto Sans" w:cs="Noto Sans"/>
    </w:rPr>
  </w:style>
  <w:style w:type="paragraph" w:styleId="Header">
    <w:name w:val="header"/>
    <w:basedOn w:val="Normal"/>
    <w:link w:val="HeaderChar"/>
    <w:uiPriority w:val="99"/>
    <w:unhideWhenUsed/>
    <w:rsid w:val="00A25173"/>
    <w:pPr>
      <w:tabs>
        <w:tab w:val="center" w:pos="4703"/>
        <w:tab w:val="right" w:pos="9406"/>
      </w:tabs>
      <w:spacing w:after="0" w:line="240" w:lineRule="auto"/>
    </w:pPr>
  </w:style>
  <w:style w:type="character" w:customStyle="1" w:styleId="HeaderChar">
    <w:name w:val="Header Char"/>
    <w:basedOn w:val="DefaultParagraphFont"/>
    <w:link w:val="Header"/>
    <w:uiPriority w:val="99"/>
    <w:rsid w:val="00A25173"/>
  </w:style>
  <w:style w:type="paragraph" w:styleId="Footer">
    <w:name w:val="footer"/>
    <w:basedOn w:val="Normal"/>
    <w:link w:val="FooterChar"/>
    <w:uiPriority w:val="99"/>
    <w:unhideWhenUsed/>
    <w:rsid w:val="00A25173"/>
    <w:pPr>
      <w:tabs>
        <w:tab w:val="center" w:pos="4703"/>
        <w:tab w:val="right" w:pos="9406"/>
      </w:tabs>
      <w:spacing w:after="0" w:line="240" w:lineRule="auto"/>
    </w:pPr>
  </w:style>
  <w:style w:type="character" w:customStyle="1" w:styleId="FooterChar">
    <w:name w:val="Footer Char"/>
    <w:basedOn w:val="DefaultParagraphFont"/>
    <w:link w:val="Footer"/>
    <w:uiPriority w:val="99"/>
    <w:rsid w:val="00A25173"/>
  </w:style>
  <w:style w:type="character" w:styleId="CommentReference">
    <w:name w:val="annotation reference"/>
    <w:basedOn w:val="DefaultParagraphFont"/>
    <w:uiPriority w:val="99"/>
    <w:semiHidden/>
    <w:unhideWhenUsed/>
    <w:rsid w:val="00D305D8"/>
    <w:rPr>
      <w:sz w:val="16"/>
      <w:szCs w:val="16"/>
    </w:rPr>
  </w:style>
  <w:style w:type="paragraph" w:styleId="CommentText">
    <w:name w:val="annotation text"/>
    <w:basedOn w:val="Normal"/>
    <w:link w:val="CommentTextChar"/>
    <w:uiPriority w:val="99"/>
    <w:semiHidden/>
    <w:unhideWhenUsed/>
    <w:rsid w:val="00D305D8"/>
    <w:pPr>
      <w:spacing w:line="240" w:lineRule="auto"/>
    </w:pPr>
    <w:rPr>
      <w:sz w:val="20"/>
      <w:szCs w:val="20"/>
    </w:rPr>
  </w:style>
  <w:style w:type="character" w:customStyle="1" w:styleId="CommentTextChar">
    <w:name w:val="Comment Text Char"/>
    <w:basedOn w:val="DefaultParagraphFont"/>
    <w:link w:val="CommentText"/>
    <w:uiPriority w:val="99"/>
    <w:semiHidden/>
    <w:rsid w:val="00D305D8"/>
    <w:rPr>
      <w:sz w:val="20"/>
      <w:szCs w:val="20"/>
    </w:rPr>
  </w:style>
  <w:style w:type="paragraph" w:styleId="CommentSubject">
    <w:name w:val="annotation subject"/>
    <w:basedOn w:val="CommentText"/>
    <w:next w:val="CommentText"/>
    <w:link w:val="CommentSubjectChar"/>
    <w:uiPriority w:val="99"/>
    <w:semiHidden/>
    <w:unhideWhenUsed/>
    <w:rsid w:val="00D305D8"/>
    <w:rPr>
      <w:b/>
      <w:bCs/>
    </w:rPr>
  </w:style>
  <w:style w:type="character" w:customStyle="1" w:styleId="CommentSubjectChar">
    <w:name w:val="Comment Subject Char"/>
    <w:basedOn w:val="CommentTextChar"/>
    <w:link w:val="CommentSubject"/>
    <w:uiPriority w:val="99"/>
    <w:semiHidden/>
    <w:rsid w:val="00D305D8"/>
    <w:rPr>
      <w:b/>
      <w:bCs/>
      <w:sz w:val="20"/>
      <w:szCs w:val="20"/>
    </w:rPr>
  </w:style>
  <w:style w:type="paragraph" w:styleId="Revision">
    <w:name w:val="Revision"/>
    <w:hidden/>
    <w:uiPriority w:val="99"/>
    <w:semiHidden/>
    <w:rsid w:val="009A26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nisia.office@unf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ughzala@unfp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0889F-8AC6-4BD1-BEF1-01826C4D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5454</TotalTime>
  <Pages>1</Pages>
  <Words>2164</Words>
  <Characters>11904</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dc:creator>
  <cp:keywords/>
  <dc:description/>
  <cp:lastModifiedBy>Ines boughzala</cp:lastModifiedBy>
  <cp:revision>20</cp:revision>
  <dcterms:created xsi:type="dcterms:W3CDTF">2022-02-11T08:42:00Z</dcterms:created>
  <dcterms:modified xsi:type="dcterms:W3CDTF">2023-11-10T14:08:00Z</dcterms:modified>
</cp:coreProperties>
</file>